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海临北路两侧绿化整治项目辅材采购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576"/>
        <w:gridCol w:w="1339"/>
        <w:gridCol w:w="2138"/>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海临北路两侧绿化整治项目辅材采购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bCs/>
                <w:sz w:val="24"/>
                <w:szCs w:val="24"/>
                <w:lang w:val="en-US" w:eastAsia="zh-CN"/>
              </w:rPr>
              <w:t>1</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遮阳网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绿色、6针</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m²</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000000"/>
                <w:kern w:val="2"/>
                <w:sz w:val="24"/>
                <w:szCs w:val="24"/>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000000"/>
                <w:kern w:val="2"/>
                <w:sz w:val="24"/>
                <w:szCs w:val="24"/>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p>
        </w:tc>
      </w:tr>
      <w:tr>
        <w:tblPrEx>
          <w:tblCellMar>
            <w:top w:w="0" w:type="dxa"/>
            <w:left w:w="0" w:type="dxa"/>
            <w:bottom w:w="0" w:type="dxa"/>
            <w:right w:w="0"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bCs/>
                <w:sz w:val="24"/>
                <w:szCs w:val="24"/>
                <w:lang w:val="en-US" w:eastAsia="zh-CN"/>
              </w:rPr>
              <w:t>2</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土工布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一布一膜，350g/m2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Cs/>
                <w:sz w:val="24"/>
                <w:szCs w:val="24"/>
                <w:lang w:val="en-US" w:eastAsia="zh-CN"/>
              </w:rPr>
              <w:t>m²</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kern w:val="2"/>
                <w:sz w:val="24"/>
                <w:szCs w:val="24"/>
                <w:lang w:val="en-US" w:eastAsia="zh-CN" w:bidi="ar-SA"/>
              </w:rPr>
              <w:t>800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000000"/>
                <w:kern w:val="2"/>
                <w:sz w:val="24"/>
                <w:szCs w:val="24"/>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000000"/>
                <w:kern w:val="2"/>
                <w:sz w:val="24"/>
                <w:szCs w:val="24"/>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13</w:t>
            </w:r>
            <w:r>
              <w:rPr>
                <w:rFonts w:hint="eastAsia" w:ascii="宋体" w:hAnsi="宋体" w:eastAsia="宋体" w:cs="宋体"/>
                <w:i w:val="0"/>
                <w:color w:val="000000"/>
                <w:kern w:val="0"/>
                <w:sz w:val="24"/>
                <w:szCs w:val="24"/>
                <w:u w:val="none"/>
                <w:lang w:val="en-US" w:eastAsia="zh-CN" w:bidi="ar"/>
              </w:rPr>
              <w:t>%增值税；</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材料进场</w:t>
            </w:r>
            <w:r>
              <w:rPr>
                <w:rFonts w:hint="eastAsia" w:ascii="宋体" w:hAnsi="宋体" w:eastAsia="宋体" w:cs="宋体"/>
                <w:i w:val="0"/>
                <w:color w:val="000000"/>
                <w:kern w:val="0"/>
                <w:sz w:val="24"/>
                <w:szCs w:val="24"/>
                <w:u w:val="none"/>
                <w:lang w:val="en-US" w:eastAsia="zh-CN" w:bidi="ar"/>
              </w:rPr>
              <w:t>时需提供合格证、</w:t>
            </w:r>
            <w:r>
              <w:rPr>
                <w:rFonts w:hint="eastAsia" w:ascii="宋体" w:hAnsi="宋体" w:cs="宋体"/>
                <w:i w:val="0"/>
                <w:color w:val="000000"/>
                <w:kern w:val="0"/>
                <w:sz w:val="24"/>
                <w:szCs w:val="24"/>
                <w:u w:val="none"/>
                <w:lang w:val="en-US" w:eastAsia="zh-CN" w:bidi="ar"/>
              </w:rPr>
              <w:t>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951"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ind w:firstLine="720" w:firstLineChars="3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3、单价含材料费、人工费、二次运输费、机械费、水电费、管理费、措施费、规费、税金、专家评审费以及为完成本采购公告内容所产生的一切费用等</w:t>
            </w:r>
            <w:r>
              <w:rPr>
                <w:rFonts w:hint="eastAsia" w:ascii="宋体" w:hAnsi="宋体" w:cs="宋体"/>
                <w:i w:val="0"/>
                <w:color w:val="000000"/>
                <w:kern w:val="0"/>
                <w:sz w:val="24"/>
                <w:szCs w:val="24"/>
                <w:u w:val="none"/>
                <w:lang w:val="en-US" w:eastAsia="zh-CN" w:bidi="ar"/>
              </w:rPr>
              <w:t>。</w:t>
            </w:r>
          </w:p>
        </w:tc>
      </w:tr>
    </w:tbl>
    <w:p>
      <w:pPr>
        <w:keepNext w:val="0"/>
        <w:keepLines w:val="0"/>
        <w:pageBreakBefore w:val="0"/>
        <w:kinsoku/>
        <w:overflowPunct/>
        <w:topLinePunct w:val="0"/>
        <w:bidi w:val="0"/>
        <w:adjustRightInd w:val="0"/>
        <w:snapToGrid w:val="0"/>
        <w:spacing w:line="500" w:lineRule="exact"/>
        <w:jc w:val="center"/>
        <w:rPr>
          <w:rFonts w:hint="eastAsia" w:ascii="宋体" w:hAnsi="宋体" w:eastAsia="宋体" w:cs="宋体"/>
          <w:color w:val="FF0000"/>
          <w:sz w:val="24"/>
        </w:rPr>
      </w:pPr>
    </w:p>
    <w:p>
      <w:pPr>
        <w:keepNext w:val="0"/>
        <w:keepLines w:val="0"/>
        <w:pageBreakBefore w:val="0"/>
        <w:kinsoku/>
        <w:overflowPunct/>
        <w:topLinePunct w:val="0"/>
        <w:bidi w:val="0"/>
        <w:adjustRightInd w:val="0"/>
        <w:snapToGrid w:val="0"/>
        <w:spacing w:line="500" w:lineRule="exact"/>
        <w:jc w:val="center"/>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海临北路两侧绿化整治项目辅材采购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keepNext w:val="0"/>
              <w:keepLines w:val="0"/>
              <w:pageBreakBefore w:val="0"/>
              <w:kinsoku/>
              <w:overflowPunct/>
              <w:topLinePunct w:val="0"/>
              <w:bidi w:val="0"/>
              <w:adjustRightInd w:val="0"/>
              <w:snapToGrid w:val="0"/>
              <w:spacing w:line="500" w:lineRule="exact"/>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auto"/>
          <w:sz w:val="24"/>
        </w:rPr>
      </w:pPr>
    </w:p>
    <w:p>
      <w:pPr>
        <w:keepNext w:val="0"/>
        <w:keepLines w:val="0"/>
        <w:pageBreakBefore w:val="0"/>
        <w:kinsoku/>
        <w:overflowPunct/>
        <w:topLinePunct w:val="0"/>
        <w:bidi w:val="0"/>
        <w:adjustRightInd w:val="0"/>
        <w:snapToGrid w:val="0"/>
        <w:spacing w:line="500" w:lineRule="exact"/>
        <w:ind w:firstLine="480" w:firstLineChars="200"/>
        <w:rPr>
          <w:rFonts w:hint="eastAsia" w:ascii="宋体" w:hAnsi="宋体" w:eastAsia="宋体" w:cs="宋体"/>
          <w:color w:val="auto"/>
          <w:sz w:val="24"/>
        </w:rPr>
      </w:pPr>
    </w:p>
    <w:p>
      <w:pPr>
        <w:keepNext w:val="0"/>
        <w:keepLines w:val="0"/>
        <w:pageBreakBefore w:val="0"/>
        <w:kinsoku/>
        <w:overflowPunct/>
        <w:topLinePunct w:val="0"/>
        <w:bidi w:val="0"/>
        <w:adjustRightInd w:val="0"/>
        <w:snapToGrid w:val="0"/>
        <w:spacing w:line="500" w:lineRule="exact"/>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00" w:lineRule="exact"/>
        <w:ind w:firstLine="4480" w:firstLineChars="16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keepNext w:val="0"/>
              <w:keepLines w:val="0"/>
              <w:pageBreakBefore w:val="0"/>
              <w:kinsoku/>
              <w:overflowPunct/>
              <w:topLinePunct w:val="0"/>
              <w:bidi w:val="0"/>
              <w:adjustRightInd w:val="0"/>
              <w:snapToGrid w:val="0"/>
              <w:spacing w:line="500" w:lineRule="exact"/>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keepNext w:val="0"/>
        <w:keepLines w:val="0"/>
        <w:pageBreakBefore w:val="0"/>
        <w:kinsoku/>
        <w:overflowPunct/>
        <w:topLinePunct w:val="0"/>
        <w:bidi w:val="0"/>
        <w:snapToGrid/>
        <w:spacing w:line="480" w:lineRule="exact"/>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海临北路两侧绿化整治项目辅材采购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8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keepNext w:val="0"/>
        <w:keepLines w:val="0"/>
        <w:pageBreakBefore w:val="0"/>
        <w:kinsoku/>
        <w:wordWrap/>
        <w:overflowPunct/>
        <w:topLinePunct w:val="0"/>
        <w:bidi w:val="0"/>
        <w:snapToGrid/>
        <w:spacing w:line="480" w:lineRule="exact"/>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keepNext w:val="0"/>
        <w:keepLines w:val="0"/>
        <w:pageBreakBefore w:val="0"/>
        <w:kinsoku/>
        <w:overflowPunct/>
        <w:topLinePunct w:val="0"/>
        <w:bidi w:val="0"/>
        <w:spacing w:line="500" w:lineRule="exact"/>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kinsoku/>
        <w:overflowPunct/>
        <w:topLinePunct w:val="0"/>
        <w:autoSpaceDE w:val="0"/>
        <w:autoSpaceDN w:val="0"/>
        <w:bidi w:val="0"/>
        <w:adjustRightInd w:val="0"/>
        <w:spacing w:line="500" w:lineRule="exact"/>
        <w:jc w:val="center"/>
        <w:rPr>
          <w:rFonts w:hint="eastAsia" w:ascii="黑体" w:hAnsi="黑体" w:eastAsia="黑体" w:cs="黑体"/>
          <w:b/>
          <w:bCs/>
          <w:sz w:val="44"/>
          <w:szCs w:val="44"/>
          <w:lang w:val="zh-CN"/>
        </w:rPr>
      </w:pPr>
      <w:r>
        <w:rPr>
          <w:rFonts w:hint="eastAsia" w:ascii="黑体" w:hAnsi="黑体" w:eastAsia="黑体" w:cs="黑体"/>
          <w:b/>
          <w:bCs/>
          <w:sz w:val="44"/>
          <w:szCs w:val="44"/>
          <w:lang w:val="zh-CN"/>
        </w:rPr>
        <w:t>材料采购合同</w:t>
      </w:r>
    </w:p>
    <w:p>
      <w:pPr>
        <w:keepNext w:val="0"/>
        <w:keepLines w:val="0"/>
        <w:pageBreakBefore w:val="0"/>
        <w:kinsoku/>
        <w:overflowPunct/>
        <w:topLinePunct w:val="0"/>
        <w:autoSpaceDE w:val="0"/>
        <w:autoSpaceDN w:val="0"/>
        <w:bidi w:val="0"/>
        <w:adjustRightInd w:val="0"/>
        <w:spacing w:line="50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keepNext w:val="0"/>
        <w:keepLines w:val="0"/>
        <w:pageBreakBefore w:val="0"/>
        <w:kinsoku/>
        <w:overflowPunct/>
        <w:topLinePunct w:val="0"/>
        <w:autoSpaceDE w:val="0"/>
        <w:autoSpaceDN w:val="0"/>
        <w:bidi w:val="0"/>
        <w:adjustRightInd w:val="0"/>
        <w:spacing w:line="50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default" w:ascii="宋体" w:hAnsi="宋体" w:eastAsia="宋体" w:cs="宋体"/>
          <w:color w:val="333333"/>
          <w:sz w:val="24"/>
          <w:szCs w:val="24"/>
          <w:u w:val="single"/>
          <w:lang w:val="en-US" w:eastAsia="zh-CN"/>
        </w:rPr>
        <w:t xml:space="preserve"> </w:t>
      </w:r>
      <w:r>
        <w:rPr>
          <w:rFonts w:hint="default" w:ascii="宋体" w:hAnsi="宋体" w:eastAsia="宋体" w:cs="仿宋"/>
          <w:sz w:val="24"/>
          <w:u w:val="single"/>
          <w:lang w:val="en-US" w:eastAsia="zh-CN"/>
        </w:rPr>
        <w:t xml:space="preserve">    </w:t>
      </w:r>
      <w:r>
        <w:rPr>
          <w:rFonts w:hint="eastAsia" w:ascii="宋体" w:hAnsi="宋体" w:eastAsia="宋体" w:cs="仿宋"/>
          <w:sz w:val="24"/>
          <w:u w:val="single"/>
          <w:lang w:val="en-US" w:eastAsia="zh-CN"/>
        </w:rPr>
        <w:t xml:space="preserve">                             </w:t>
      </w:r>
    </w:p>
    <w:p>
      <w:pPr>
        <w:keepNext w:val="0"/>
        <w:keepLines w:val="0"/>
        <w:pageBreakBefore w:val="0"/>
        <w:kinsoku/>
        <w:overflowPunct/>
        <w:topLinePunct w:val="0"/>
        <w:bidi w:val="0"/>
        <w:spacing w:line="50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w:t>
      </w:r>
      <w:r>
        <w:rPr>
          <w:rFonts w:hint="eastAsia" w:ascii="宋体" w:hAnsi="宋体" w:cs="仿宋"/>
          <w:color w:val="auto"/>
          <w:sz w:val="24"/>
          <w:lang w:val="zh-CN"/>
        </w:rPr>
        <w:t>就</w:t>
      </w:r>
      <w:r>
        <w:rPr>
          <w:rFonts w:hint="default" w:ascii="宋体" w:hAnsi="宋体" w:cs="宋体"/>
          <w:color w:val="auto"/>
          <w:sz w:val="24"/>
          <w:szCs w:val="24"/>
          <w:u w:val="single"/>
          <w:lang w:val="en-US" w:eastAsia="zh-CN"/>
        </w:rPr>
        <w:t>海临北路两侧绿化整治项目辅材采购</w:t>
      </w:r>
      <w:r>
        <w:rPr>
          <w:rFonts w:hint="eastAsia" w:ascii="宋体" w:hAnsi="宋体" w:cs="仿宋"/>
          <w:color w:val="auto"/>
          <w:sz w:val="24"/>
          <w:lang w:val="en-US" w:eastAsia="zh-CN"/>
        </w:rPr>
        <w:t>项目</w:t>
      </w:r>
      <w:r>
        <w:rPr>
          <w:rFonts w:hint="eastAsia" w:ascii="宋体" w:hAnsi="宋体" w:cs="仿宋"/>
          <w:color w:val="auto"/>
          <w:sz w:val="24"/>
          <w:lang w:val="zh-CN"/>
        </w:rPr>
        <w:t>，达成本合同条款，供双方遵守：</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lang w:val="en-US" w:eastAsia="zh-CN"/>
        </w:rPr>
      </w:pPr>
      <w:r>
        <w:rPr>
          <w:rFonts w:hint="eastAsia" w:ascii="方正小标宋简体" w:hAnsi="黑体" w:eastAsia="方正小标宋简体" w:cs="黑体"/>
          <w:bCs/>
          <w:color w:val="auto"/>
          <w:sz w:val="24"/>
        </w:rPr>
        <w:t>一、</w:t>
      </w:r>
      <w:r>
        <w:rPr>
          <w:rFonts w:hint="eastAsia" w:ascii="方正小标宋简体" w:hAnsi="黑体" w:eastAsia="方正小标宋简体" w:cs="黑体"/>
          <w:bCs/>
          <w:color w:val="auto"/>
          <w:sz w:val="24"/>
          <w:lang w:val="zh-CN"/>
        </w:rPr>
        <w:t>材料规格、数量、</w:t>
      </w:r>
      <w:r>
        <w:rPr>
          <w:rFonts w:hint="eastAsia" w:ascii="方正小标宋简体" w:hAnsi="黑体" w:eastAsia="方正小标宋简体" w:cs="黑体"/>
          <w:bCs/>
          <w:color w:val="auto"/>
          <w:sz w:val="24"/>
          <w:lang w:val="en-US" w:eastAsia="zh-CN"/>
        </w:rPr>
        <w:t>价格</w:t>
      </w:r>
    </w:p>
    <w:tbl>
      <w:tblPr>
        <w:tblStyle w:val="18"/>
        <w:tblW w:w="5000" w:type="pct"/>
        <w:tblInd w:w="0" w:type="dxa"/>
        <w:tblLayout w:type="fixed"/>
        <w:tblCellMar>
          <w:top w:w="0" w:type="dxa"/>
          <w:left w:w="0" w:type="dxa"/>
          <w:bottom w:w="0" w:type="dxa"/>
          <w:right w:w="0" w:type="dxa"/>
        </w:tblCellMar>
      </w:tblPr>
      <w:tblGrid>
        <w:gridCol w:w="939"/>
        <w:gridCol w:w="1268"/>
        <w:gridCol w:w="1996"/>
        <w:gridCol w:w="600"/>
        <w:gridCol w:w="810"/>
        <w:gridCol w:w="699"/>
        <w:gridCol w:w="714"/>
        <w:gridCol w:w="1304"/>
      </w:tblGrid>
      <w:tr>
        <w:tblPrEx>
          <w:tblCellMar>
            <w:top w:w="0" w:type="dxa"/>
            <w:left w:w="0" w:type="dxa"/>
            <w:bottom w:w="0" w:type="dxa"/>
            <w:right w:w="0" w:type="dxa"/>
          </w:tblCellMar>
        </w:tblPrEx>
        <w:trPr>
          <w:trHeight w:val="600" w:hRule="atLeast"/>
        </w:trPr>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名称</w:t>
            </w:r>
          </w:p>
        </w:tc>
        <w:tc>
          <w:tcPr>
            <w:tcW w:w="1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数量</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单价</w:t>
            </w: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小计</w:t>
            </w: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备注</w:t>
            </w:r>
          </w:p>
        </w:tc>
      </w:tr>
      <w:tr>
        <w:tblPrEx>
          <w:tblCellMar>
            <w:top w:w="0" w:type="dxa"/>
            <w:left w:w="0" w:type="dxa"/>
            <w:bottom w:w="0" w:type="dxa"/>
            <w:right w:w="0" w:type="dxa"/>
          </w:tblCellMar>
        </w:tblPrEx>
        <w:trPr>
          <w:trHeight w:val="600" w:hRule="atLeast"/>
        </w:trPr>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1</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遮阳网</w:t>
            </w:r>
          </w:p>
        </w:tc>
        <w:tc>
          <w:tcPr>
            <w:tcW w:w="1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default" w:ascii="宋体" w:hAnsi="宋体" w:cs="宋体"/>
                <w:i w:val="0"/>
                <w:color w:val="auto"/>
                <w:kern w:val="2"/>
                <w:sz w:val="18"/>
                <w:szCs w:val="18"/>
                <w:u w:val="none"/>
                <w:lang w:val="en-US" w:eastAsia="zh-CN" w:bidi="ar-SA"/>
              </w:rPr>
            </w:pPr>
            <w:r>
              <w:rPr>
                <w:rFonts w:hint="eastAsia" w:ascii="宋体" w:hAnsi="宋体" w:eastAsia="宋体" w:cs="宋体"/>
                <w:bCs/>
                <w:sz w:val="24"/>
                <w:szCs w:val="24"/>
                <w:lang w:val="en-US" w:eastAsia="zh-CN"/>
              </w:rPr>
              <w:t>绿色、6针</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m²</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54000</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overflowPunct/>
              <w:topLinePunct w:val="0"/>
              <w:bidi w:val="0"/>
              <w:spacing w:line="500" w:lineRule="exact"/>
              <w:jc w:val="center"/>
              <w:textAlignment w:val="center"/>
              <w:rPr>
                <w:rFonts w:hint="default" w:ascii="宋体" w:hAnsi="宋体" w:eastAsia="宋体" w:cs="宋体"/>
                <w:color w:val="000000"/>
                <w:kern w:val="2"/>
                <w:sz w:val="24"/>
                <w:szCs w:val="22"/>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overflowPunct/>
              <w:topLinePunct w:val="0"/>
              <w:bidi w:val="0"/>
              <w:spacing w:line="500" w:lineRule="exact"/>
              <w:jc w:val="center"/>
              <w:textAlignment w:val="center"/>
              <w:rPr>
                <w:rFonts w:hint="eastAsia" w:ascii="宋体" w:hAnsi="宋体" w:eastAsia="宋体" w:cs="宋体"/>
                <w:color w:val="000000"/>
                <w:kern w:val="2"/>
                <w:sz w:val="24"/>
                <w:szCs w:val="22"/>
                <w:lang w:val="en-US" w:eastAsia="zh-CN" w:bidi="ar-SA"/>
              </w:rPr>
            </w:pP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kern w:val="2"/>
                <w:sz w:val="18"/>
                <w:szCs w:val="18"/>
                <w:u w:val="none"/>
                <w:lang w:val="en-US" w:eastAsia="zh-CN" w:bidi="ar-SA"/>
              </w:rPr>
            </w:pPr>
          </w:p>
        </w:tc>
      </w:tr>
      <w:tr>
        <w:tblPrEx>
          <w:tblCellMar>
            <w:top w:w="0" w:type="dxa"/>
            <w:left w:w="0" w:type="dxa"/>
            <w:bottom w:w="0" w:type="dxa"/>
            <w:right w:w="0" w:type="dxa"/>
          </w:tblCellMar>
        </w:tblPrEx>
        <w:trPr>
          <w:trHeight w:val="600" w:hRule="atLeast"/>
        </w:trPr>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sz w:val="24"/>
                <w:szCs w:val="24"/>
                <w:lang w:val="en-US" w:eastAsia="zh-CN"/>
              </w:rPr>
              <w:t>2</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土工布</w:t>
            </w:r>
          </w:p>
        </w:tc>
        <w:tc>
          <w:tcPr>
            <w:tcW w:w="1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default" w:ascii="宋体" w:hAnsi="宋体" w:cs="宋体"/>
                <w:i w:val="0"/>
                <w:color w:val="auto"/>
                <w:kern w:val="2"/>
                <w:sz w:val="18"/>
                <w:szCs w:val="18"/>
                <w:u w:val="none"/>
                <w:lang w:val="en-US" w:eastAsia="zh-CN" w:bidi="ar-SA"/>
              </w:rPr>
            </w:pPr>
            <w:r>
              <w:rPr>
                <w:rFonts w:hint="eastAsia" w:ascii="宋体" w:hAnsi="宋体" w:eastAsia="宋体" w:cs="宋体"/>
                <w:bCs/>
                <w:sz w:val="24"/>
                <w:szCs w:val="24"/>
                <w:lang w:val="en-US" w:eastAsia="zh-CN"/>
              </w:rPr>
              <w:t>一布一膜，350g/m2</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Cs/>
                <w:sz w:val="24"/>
                <w:szCs w:val="24"/>
                <w:lang w:val="en-US" w:eastAsia="zh-CN"/>
              </w:rPr>
              <w:t>m²</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bidi w:val="0"/>
              <w:spacing w:line="500" w:lineRule="exact"/>
              <w:jc w:val="center"/>
              <w:rPr>
                <w:rFonts w:hint="default" w:ascii="Times New Roman" w:hAnsi="Times New Roman" w:cs="Times New Roman"/>
                <w:i w:val="0"/>
                <w:iCs w:val="0"/>
                <w:color w:val="000000"/>
                <w:kern w:val="0"/>
                <w:sz w:val="24"/>
                <w:szCs w:val="24"/>
                <w:u w:val="none"/>
                <w:lang w:val="en-US" w:eastAsia="zh-CN" w:bidi="ar"/>
              </w:rPr>
            </w:pPr>
            <w:r>
              <w:rPr>
                <w:rFonts w:hint="eastAsia" w:ascii="宋体" w:hAnsi="宋体" w:eastAsia="宋体" w:cs="宋体"/>
                <w:bCs/>
                <w:kern w:val="2"/>
                <w:sz w:val="24"/>
                <w:szCs w:val="24"/>
                <w:lang w:val="en-US" w:eastAsia="zh-CN" w:bidi="ar-SA"/>
              </w:rPr>
              <w:t>800</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overflowPunct/>
              <w:topLinePunct w:val="0"/>
              <w:bidi w:val="0"/>
              <w:spacing w:line="500" w:lineRule="exact"/>
              <w:jc w:val="center"/>
              <w:textAlignment w:val="center"/>
              <w:rPr>
                <w:rFonts w:hint="default" w:ascii="宋体" w:hAnsi="宋体" w:eastAsia="宋体" w:cs="宋体"/>
                <w:color w:val="000000"/>
                <w:kern w:val="2"/>
                <w:sz w:val="24"/>
                <w:szCs w:val="22"/>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overflowPunct/>
              <w:topLinePunct w:val="0"/>
              <w:bidi w:val="0"/>
              <w:spacing w:line="500" w:lineRule="exact"/>
              <w:jc w:val="center"/>
              <w:textAlignment w:val="center"/>
              <w:rPr>
                <w:rFonts w:hint="eastAsia" w:ascii="宋体" w:hAnsi="宋体" w:eastAsia="宋体" w:cs="宋体"/>
                <w:color w:val="000000"/>
                <w:kern w:val="2"/>
                <w:sz w:val="24"/>
                <w:szCs w:val="22"/>
                <w:lang w:val="en-US" w:eastAsia="zh-CN" w:bidi="ar-SA"/>
              </w:rPr>
            </w:pP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color w:val="auto"/>
                <w:kern w:val="2"/>
                <w:sz w:val="18"/>
                <w:szCs w:val="18"/>
                <w:u w:val="none"/>
                <w:lang w:val="en-US" w:eastAsia="zh-CN" w:bidi="ar-SA"/>
              </w:rPr>
            </w:pPr>
          </w:p>
        </w:tc>
      </w:tr>
      <w:tr>
        <w:tblPrEx>
          <w:tblCellMar>
            <w:top w:w="0" w:type="dxa"/>
            <w:left w:w="0" w:type="dxa"/>
            <w:bottom w:w="0" w:type="dxa"/>
            <w:right w:w="0"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合计（人民币）：</w:t>
            </w:r>
          </w:p>
        </w:tc>
      </w:tr>
      <w:tr>
        <w:tblPrEx>
          <w:tblCellMar>
            <w:top w:w="0" w:type="dxa"/>
            <w:left w:w="0" w:type="dxa"/>
            <w:bottom w:w="0" w:type="dxa"/>
            <w:right w:w="0"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500" w:lineRule="exact"/>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大写（人民币）：</w:t>
            </w:r>
          </w:p>
        </w:tc>
      </w:tr>
    </w:tbl>
    <w:p>
      <w:pPr>
        <w:keepNext w:val="0"/>
        <w:keepLines w:val="0"/>
        <w:pageBreakBefore w:val="0"/>
        <w:kinsoku/>
        <w:overflowPunct/>
        <w:topLinePunct w:val="0"/>
        <w:bidi w:val="0"/>
        <w:spacing w:line="500" w:lineRule="exact"/>
        <w:ind w:firstLine="480" w:firstLineChars="200"/>
        <w:jc w:val="left"/>
        <w:rPr>
          <w:rFonts w:hint="eastAsia" w:ascii="宋体" w:hAnsi="宋体" w:cs="仿宋"/>
          <w:color w:val="auto"/>
          <w:sz w:val="24"/>
          <w:highlight w:val="none"/>
          <w:lang w:val="zh-CN" w:eastAsia="zh-CN"/>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lang w:val="zh-CN" w:eastAsia="zh-CN"/>
        </w:rPr>
        <w:t>以上价格含</w:t>
      </w:r>
      <w:r>
        <w:rPr>
          <w:rFonts w:hint="eastAsia" w:ascii="宋体" w:hAnsi="宋体" w:cs="仿宋"/>
          <w:color w:val="auto"/>
          <w:sz w:val="24"/>
          <w:highlight w:val="none"/>
          <w:lang w:val="en-US" w:eastAsia="zh-CN"/>
        </w:rPr>
        <w:t>13</w:t>
      </w:r>
      <w:r>
        <w:rPr>
          <w:rFonts w:hint="eastAsia" w:ascii="宋体" w:hAnsi="宋体" w:cs="仿宋"/>
          <w:color w:val="auto"/>
          <w:sz w:val="24"/>
          <w:highlight w:val="none"/>
          <w:lang w:val="zh-CN" w:eastAsia="zh-CN"/>
        </w:rPr>
        <w:t>%增值税；</w:t>
      </w:r>
    </w:p>
    <w:p>
      <w:pPr>
        <w:keepNext w:val="0"/>
        <w:keepLines w:val="0"/>
        <w:pageBreakBefore w:val="0"/>
        <w:kinsoku/>
        <w:overflowPunct/>
        <w:topLinePunct w:val="0"/>
        <w:bidi w:val="0"/>
        <w:spacing w:line="50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本合同为单价合同，实际结算以现场供货清单签收数量为准。</w:t>
      </w:r>
    </w:p>
    <w:p>
      <w:pPr>
        <w:keepNext w:val="0"/>
        <w:keepLines w:val="0"/>
        <w:pageBreakBefore w:val="0"/>
        <w:kinsoku/>
        <w:overflowPunct/>
        <w:topLinePunct w:val="0"/>
        <w:bidi w:val="0"/>
        <w:spacing w:line="50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单价包含但不限于材料费、运输费、试验费、管理费、利润、税费等交货前的所有费用以及为完成本采购公告内容所产生的一切费用等。</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二、</w:t>
      </w:r>
      <w:r>
        <w:rPr>
          <w:rFonts w:hint="eastAsia" w:ascii="方正小标宋简体" w:hAnsi="黑体" w:eastAsia="方正小标宋简体" w:cs="黑体"/>
          <w:bCs/>
          <w:color w:val="auto"/>
          <w:sz w:val="24"/>
          <w:lang w:val="en-US" w:eastAsia="zh-CN"/>
        </w:rPr>
        <w:t>材</w:t>
      </w:r>
      <w:r>
        <w:rPr>
          <w:rFonts w:hint="eastAsia" w:ascii="方正小标宋简体" w:hAnsi="黑体" w:eastAsia="方正小标宋简体" w:cs="黑体"/>
          <w:bCs/>
          <w:color w:val="auto"/>
          <w:sz w:val="24"/>
        </w:rPr>
        <w:t>料规格、质量、技术要求</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1、质量要求：物料</w:t>
      </w:r>
      <w:r>
        <w:rPr>
          <w:rFonts w:hint="eastAsia" w:ascii="宋体" w:hAnsi="宋体" w:eastAsia="宋体" w:cs="宋体"/>
          <w:sz w:val="24"/>
          <w:szCs w:val="24"/>
          <w:lang w:val="zh-CN"/>
        </w:rPr>
        <w:t>的质量按</w:t>
      </w:r>
      <w:r>
        <w:rPr>
          <w:rFonts w:hint="eastAsia" w:ascii="宋体" w:hAnsi="宋体" w:eastAsia="宋体" w:cs="宋体"/>
          <w:sz w:val="24"/>
          <w:szCs w:val="24"/>
        </w:rPr>
        <w:t>国家相关技术标准执行，</w:t>
      </w:r>
      <w:r>
        <w:rPr>
          <w:rFonts w:hint="eastAsia" w:ascii="宋体" w:hAnsi="宋体" w:eastAsia="宋体" w:cs="宋体"/>
          <w:sz w:val="24"/>
          <w:szCs w:val="24"/>
          <w:lang w:val="zh-CN"/>
        </w:rPr>
        <w:t>同时应符合甲方对该</w:t>
      </w:r>
      <w:r>
        <w:rPr>
          <w:rFonts w:hint="eastAsia" w:ascii="宋体" w:hAnsi="宋体" w:eastAsia="宋体" w:cs="宋体"/>
          <w:sz w:val="24"/>
          <w:szCs w:val="24"/>
        </w:rPr>
        <w:t>物料</w:t>
      </w:r>
      <w:r>
        <w:rPr>
          <w:rFonts w:hint="eastAsia" w:ascii="宋体" w:hAnsi="宋体" w:eastAsia="宋体" w:cs="宋体"/>
          <w:sz w:val="24"/>
          <w:szCs w:val="24"/>
          <w:lang w:val="zh-CN"/>
        </w:rPr>
        <w:t>指定要求。乙方保证</w:t>
      </w:r>
      <w:r>
        <w:rPr>
          <w:rFonts w:hint="eastAsia" w:ascii="宋体" w:hAnsi="宋体" w:eastAsia="宋体" w:cs="宋体"/>
          <w:sz w:val="24"/>
          <w:szCs w:val="24"/>
        </w:rPr>
        <w:t>物料</w:t>
      </w:r>
      <w:r>
        <w:rPr>
          <w:rFonts w:hint="eastAsia" w:ascii="宋体" w:hAnsi="宋体" w:eastAsia="宋体" w:cs="宋体"/>
          <w:sz w:val="24"/>
          <w:szCs w:val="24"/>
          <w:lang w:val="zh-CN"/>
        </w:rPr>
        <w:t>质量符合甲方规定的要求，乙方对</w:t>
      </w:r>
      <w:r>
        <w:rPr>
          <w:rFonts w:hint="eastAsia" w:ascii="宋体" w:hAnsi="宋体" w:eastAsia="宋体" w:cs="宋体"/>
          <w:sz w:val="24"/>
          <w:szCs w:val="24"/>
        </w:rPr>
        <w:t>物料</w:t>
      </w:r>
      <w:r>
        <w:rPr>
          <w:rFonts w:hint="eastAsia" w:ascii="宋体" w:hAnsi="宋体" w:eastAsia="宋体" w:cs="宋体"/>
          <w:sz w:val="24"/>
          <w:szCs w:val="24"/>
          <w:lang w:val="zh-CN"/>
        </w:rPr>
        <w:t>质量负完全责任；</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三、交货地点、方法及期限</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交货地点为甲方现场指定地点。</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交货方法，按下列第</w:t>
      </w:r>
      <w:r>
        <w:rPr>
          <w:rFonts w:hint="eastAsia" w:ascii="宋体" w:hAnsi="宋体" w:eastAsia="宋体" w:cs="宋体"/>
          <w:sz w:val="24"/>
          <w:szCs w:val="24"/>
          <w:u w:val="single"/>
          <w:lang w:val="zh-CN"/>
        </w:rPr>
        <w:t xml:space="preserve"> （1） </w:t>
      </w:r>
      <w:r>
        <w:rPr>
          <w:rFonts w:hint="eastAsia" w:ascii="宋体" w:hAnsi="宋体" w:eastAsia="宋体" w:cs="宋体"/>
          <w:sz w:val="24"/>
          <w:szCs w:val="24"/>
          <w:lang w:val="zh-CN"/>
        </w:rPr>
        <w:t>项执行：</w:t>
      </w:r>
    </w:p>
    <w:p>
      <w:pPr>
        <w:keepNext w:val="0"/>
        <w:keepLines w:val="0"/>
        <w:pageBreakBefore w:val="0"/>
        <w:kinsoku/>
        <w:overflowPunct/>
        <w:topLinePunct w:val="0"/>
        <w:bidi w:val="0"/>
        <w:spacing w:line="500" w:lineRule="exact"/>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（1）乙方负责送货；（2）乙方负责委托第三方运输，甲方负责运费；（3）甲方自提自运。</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货物装卸采用第</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项执行：</w:t>
      </w:r>
    </w:p>
    <w:p>
      <w:pPr>
        <w:keepNext w:val="0"/>
        <w:keepLines w:val="0"/>
        <w:pageBreakBefore w:val="0"/>
        <w:kinsoku/>
        <w:overflowPunct/>
        <w:topLinePunct w:val="0"/>
        <w:bidi w:val="0"/>
        <w:spacing w:line="500" w:lineRule="exact"/>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（1）乙方负责装卸；（</w:t>
      </w:r>
      <w:r>
        <w:rPr>
          <w:rFonts w:hint="eastAsia" w:ascii="宋体" w:hAnsi="宋体" w:eastAsia="宋体" w:cs="宋体"/>
          <w:sz w:val="24"/>
          <w:szCs w:val="24"/>
        </w:rPr>
        <w:t>2</w:t>
      </w:r>
      <w:r>
        <w:rPr>
          <w:rFonts w:hint="eastAsia" w:ascii="宋体" w:hAnsi="宋体" w:eastAsia="宋体" w:cs="宋体"/>
          <w:sz w:val="24"/>
          <w:szCs w:val="24"/>
          <w:lang w:val="zh-CN"/>
        </w:rPr>
        <w:t>）乙方负责装、甲方负责卸；（3）甲方负责装卸。</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交货期限：按甲方通知的时间、地点交货，但甲方应提前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日通知乙方，</w:t>
      </w:r>
      <w:r>
        <w:rPr>
          <w:rFonts w:hint="eastAsia" w:ascii="宋体" w:hAnsi="宋体" w:eastAsia="宋体" w:cs="宋体"/>
          <w:sz w:val="24"/>
          <w:szCs w:val="24"/>
        </w:rPr>
        <w:t>甲方收货前的货物毁损灭失风险、各种费用、环保责任和人身安全责任，概由乙方承担。</w:t>
      </w:r>
      <w:r>
        <w:rPr>
          <w:rFonts w:hint="eastAsia" w:ascii="宋体" w:hAnsi="宋体" w:eastAsia="宋体" w:cs="宋体"/>
          <w:sz w:val="24"/>
          <w:szCs w:val="24"/>
          <w:lang w:val="zh-CN"/>
        </w:rPr>
        <w:t xml:space="preserve"> </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四、验收及付款方式</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验收方法：乙方将</w:t>
      </w:r>
      <w:r>
        <w:rPr>
          <w:rFonts w:hint="eastAsia" w:ascii="宋体" w:hAnsi="宋体" w:eastAsia="宋体" w:cs="宋体"/>
          <w:sz w:val="24"/>
          <w:szCs w:val="24"/>
        </w:rPr>
        <w:t>物料</w:t>
      </w:r>
      <w:r>
        <w:rPr>
          <w:rFonts w:hint="eastAsia" w:ascii="宋体" w:hAnsi="宋体" w:eastAsia="宋体" w:cs="宋体"/>
          <w:sz w:val="24"/>
          <w:szCs w:val="24"/>
          <w:lang w:val="zh-CN"/>
        </w:rPr>
        <w:t>运至甲方指定地点后，甲方</w:t>
      </w:r>
      <w:r>
        <w:rPr>
          <w:rFonts w:hint="eastAsia" w:ascii="宋体" w:hAnsi="宋体" w:eastAsia="宋体" w:cs="宋体"/>
          <w:sz w:val="24"/>
          <w:szCs w:val="24"/>
        </w:rPr>
        <w:t>安排</w:t>
      </w:r>
      <w:r>
        <w:rPr>
          <w:rFonts w:hint="eastAsia" w:ascii="宋体" w:hAnsi="宋体" w:eastAsia="宋体" w:cs="宋体"/>
          <w:sz w:val="24"/>
          <w:szCs w:val="24"/>
          <w:lang w:val="zh-CN"/>
        </w:rPr>
        <w:t>相关人员对</w:t>
      </w:r>
      <w:r>
        <w:rPr>
          <w:rFonts w:hint="eastAsia" w:ascii="宋体" w:hAnsi="宋体" w:eastAsia="宋体" w:cs="宋体"/>
          <w:sz w:val="24"/>
          <w:szCs w:val="24"/>
        </w:rPr>
        <w:t>物料</w:t>
      </w:r>
      <w:r>
        <w:rPr>
          <w:rFonts w:hint="eastAsia" w:ascii="宋体" w:hAnsi="宋体" w:eastAsia="宋体" w:cs="宋体"/>
          <w:sz w:val="24"/>
          <w:szCs w:val="24"/>
          <w:lang w:val="zh-CN"/>
        </w:rPr>
        <w:t>质量、数量</w:t>
      </w:r>
      <w:r>
        <w:rPr>
          <w:rFonts w:hint="eastAsia" w:ascii="宋体" w:hAnsi="宋体" w:eastAsia="宋体" w:cs="宋体"/>
          <w:sz w:val="24"/>
          <w:szCs w:val="24"/>
        </w:rPr>
        <w:t>进行现场</w:t>
      </w:r>
      <w:r>
        <w:rPr>
          <w:rFonts w:hint="eastAsia" w:ascii="宋体" w:hAnsi="宋体" w:eastAsia="宋体" w:cs="宋体"/>
          <w:sz w:val="24"/>
          <w:szCs w:val="24"/>
          <w:lang w:val="zh-CN"/>
        </w:rPr>
        <w:t>验收，</w:t>
      </w:r>
      <w:r>
        <w:rPr>
          <w:rFonts w:hint="eastAsia" w:ascii="宋体" w:hAnsi="宋体" w:cs="仿宋"/>
          <w:sz w:val="24"/>
          <w:lang w:val="en-US" w:eastAsia="zh-CN"/>
        </w:rPr>
        <w:t>实际结算以现场供货清单签收数量为准。</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验收标准：乙方向甲方提供的</w:t>
      </w:r>
      <w:r>
        <w:rPr>
          <w:rFonts w:hint="eastAsia" w:ascii="宋体" w:hAnsi="宋体" w:eastAsia="宋体" w:cs="宋体"/>
          <w:sz w:val="24"/>
          <w:szCs w:val="24"/>
        </w:rPr>
        <w:t>物料</w:t>
      </w:r>
      <w:r>
        <w:rPr>
          <w:rFonts w:hint="eastAsia" w:ascii="宋体" w:hAnsi="宋体" w:eastAsia="宋体" w:cs="宋体"/>
          <w:sz w:val="24"/>
          <w:szCs w:val="24"/>
          <w:lang w:val="zh-CN"/>
        </w:rPr>
        <w:t>应满足</w:t>
      </w:r>
      <w:r>
        <w:rPr>
          <w:rFonts w:hint="eastAsia" w:ascii="宋体" w:hAnsi="宋体" w:eastAsia="宋体" w:cs="宋体"/>
          <w:sz w:val="24"/>
          <w:szCs w:val="24"/>
          <w:lang w:val="en-US" w:eastAsia="zh-CN"/>
        </w:rPr>
        <w:t>合同</w:t>
      </w:r>
      <w:r>
        <w:rPr>
          <w:rFonts w:hint="eastAsia" w:ascii="宋体" w:hAnsi="宋体" w:eastAsia="宋体" w:cs="宋体"/>
          <w:sz w:val="24"/>
          <w:szCs w:val="24"/>
          <w:lang w:val="zh-CN"/>
        </w:rPr>
        <w:t>要求</w:t>
      </w:r>
      <w:r>
        <w:rPr>
          <w:rFonts w:hint="eastAsia" w:ascii="宋体" w:hAnsi="宋体" w:eastAsia="宋体" w:cs="宋体"/>
          <w:sz w:val="24"/>
          <w:szCs w:val="24"/>
          <w:lang w:val="en-US" w:eastAsia="zh-CN"/>
        </w:rPr>
        <w:t>和</w:t>
      </w:r>
      <w:r>
        <w:rPr>
          <w:rFonts w:hint="eastAsia" w:ascii="宋体" w:hAnsi="宋体" w:eastAsia="宋体" w:cs="宋体"/>
          <w:sz w:val="24"/>
          <w:szCs w:val="24"/>
        </w:rPr>
        <w:t>国家标准，有合格证</w:t>
      </w:r>
      <w:r>
        <w:rPr>
          <w:rFonts w:hint="eastAsia" w:ascii="宋体" w:hAnsi="宋体" w:eastAsia="宋体" w:cs="宋体"/>
          <w:sz w:val="24"/>
          <w:szCs w:val="24"/>
          <w:lang w:val="en-US" w:eastAsia="zh-CN"/>
        </w:rPr>
        <w:t>及</w:t>
      </w:r>
      <w:r>
        <w:rPr>
          <w:rFonts w:hint="eastAsia" w:ascii="宋体" w:hAnsi="宋体" w:eastAsia="宋体" w:cs="宋体"/>
          <w:sz w:val="24"/>
          <w:szCs w:val="24"/>
        </w:rPr>
        <w:t>检测报告</w:t>
      </w:r>
      <w:r>
        <w:rPr>
          <w:rFonts w:hint="eastAsia" w:ascii="宋体" w:hAnsi="宋体" w:eastAsia="宋体" w:cs="宋体"/>
          <w:sz w:val="24"/>
          <w:szCs w:val="24"/>
          <w:lang w:val="zh-CN"/>
        </w:rPr>
        <w:t>。</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付款方式：</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（1）甲方在</w:t>
      </w:r>
      <w:r>
        <w:rPr>
          <w:rFonts w:hint="eastAsia" w:ascii="宋体" w:hAnsi="宋体" w:eastAsia="宋体" w:cs="宋体"/>
          <w:sz w:val="24"/>
          <w:szCs w:val="24"/>
        </w:rPr>
        <w:t>验收合格后，在</w:t>
      </w:r>
      <w:r>
        <w:rPr>
          <w:rFonts w:hint="eastAsia" w:ascii="宋体" w:hAnsi="宋体" w:eastAsia="宋体" w:cs="宋体"/>
          <w:sz w:val="24"/>
          <w:szCs w:val="24"/>
          <w:lang w:val="zh-CN"/>
        </w:rPr>
        <w:t>乙方开具</w:t>
      </w:r>
      <w:r>
        <w:rPr>
          <w:rFonts w:hint="eastAsia" w:ascii="宋体" w:hAnsi="宋体" w:eastAsia="宋体" w:cs="宋体"/>
          <w:sz w:val="24"/>
          <w:szCs w:val="24"/>
        </w:rPr>
        <w:t>增值税发票三个月后，</w:t>
      </w:r>
      <w:r>
        <w:rPr>
          <w:rFonts w:hint="eastAsia" w:ascii="宋体" w:hAnsi="宋体" w:eastAsia="宋体" w:cs="宋体"/>
          <w:sz w:val="24"/>
          <w:szCs w:val="24"/>
          <w:lang w:val="zh-CN"/>
        </w:rPr>
        <w:t>将乙方挂账货款一次性</w:t>
      </w:r>
      <w:r>
        <w:rPr>
          <w:rFonts w:hint="eastAsia" w:ascii="宋体" w:hAnsi="宋体" w:eastAsia="宋体" w:cs="宋体"/>
          <w:sz w:val="24"/>
          <w:szCs w:val="24"/>
        </w:rPr>
        <w:t>付清</w:t>
      </w:r>
      <w:r>
        <w:rPr>
          <w:rFonts w:hint="eastAsia" w:ascii="宋体" w:hAnsi="宋体" w:eastAsia="宋体" w:cs="宋体"/>
          <w:sz w:val="24"/>
          <w:szCs w:val="24"/>
          <w:lang w:val="zh-CN"/>
        </w:rPr>
        <w:t>（国家法定节假日顺延）。</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（2）乙方开户银行及帐号：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开户单位（人）名称：</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 xml:space="preserve">开   户   银   行：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帐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 xml:space="preserve">号：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五、责任与义务</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乙方所交</w:t>
      </w:r>
      <w:r>
        <w:rPr>
          <w:rFonts w:hint="eastAsia" w:ascii="宋体" w:hAnsi="宋体" w:eastAsia="宋体" w:cs="宋体"/>
          <w:sz w:val="24"/>
          <w:szCs w:val="24"/>
        </w:rPr>
        <w:t>物料</w:t>
      </w:r>
      <w:r>
        <w:rPr>
          <w:rFonts w:hint="eastAsia" w:ascii="宋体" w:hAnsi="宋体" w:eastAsia="宋体" w:cs="宋体"/>
          <w:sz w:val="24"/>
          <w:szCs w:val="24"/>
          <w:lang w:val="zh-CN"/>
        </w:rPr>
        <w:t>品种、型号、规格、质量不符合约定的，由乙方负责</w:t>
      </w:r>
      <w:r>
        <w:rPr>
          <w:rFonts w:hint="eastAsia" w:ascii="宋体" w:hAnsi="宋体" w:eastAsia="宋体" w:cs="宋体"/>
          <w:sz w:val="24"/>
          <w:szCs w:val="24"/>
        </w:rPr>
        <w:t>退换货并承担相应费用，乙方应当在5日内完成退换货</w:t>
      </w:r>
      <w:r>
        <w:rPr>
          <w:rFonts w:hint="eastAsia" w:ascii="宋体" w:hAnsi="宋体" w:eastAsia="宋体" w:cs="宋体"/>
          <w:sz w:val="24"/>
          <w:szCs w:val="24"/>
          <w:lang w:val="zh-CN"/>
        </w:rPr>
        <w:t>。</w:t>
      </w:r>
      <w:r>
        <w:rPr>
          <w:rFonts w:hint="eastAsia" w:ascii="宋体" w:hAnsi="宋体" w:eastAsia="宋体" w:cs="宋体"/>
          <w:sz w:val="24"/>
          <w:szCs w:val="24"/>
        </w:rPr>
        <w:t>同时</w:t>
      </w:r>
      <w:r>
        <w:rPr>
          <w:rFonts w:hint="eastAsia" w:ascii="宋体" w:hAnsi="宋体" w:eastAsia="宋体" w:cs="宋体"/>
          <w:sz w:val="24"/>
          <w:szCs w:val="24"/>
          <w:lang w:val="zh-CN"/>
        </w:rPr>
        <w:t>从合同约定交货之日起，到更换至符合约定的产品之日止，应按逾期交货承担违约责任。乙方在经过一次更换货后，相关</w:t>
      </w:r>
      <w:r>
        <w:rPr>
          <w:rFonts w:hint="eastAsia" w:ascii="宋体" w:hAnsi="宋体" w:eastAsia="宋体" w:cs="宋体"/>
          <w:sz w:val="24"/>
          <w:szCs w:val="24"/>
        </w:rPr>
        <w:t>物料</w:t>
      </w:r>
      <w:r>
        <w:rPr>
          <w:rFonts w:hint="eastAsia" w:ascii="宋体" w:hAnsi="宋体" w:eastAsia="宋体" w:cs="宋体"/>
          <w:sz w:val="24"/>
          <w:szCs w:val="24"/>
          <w:lang w:val="zh-CN"/>
        </w:rPr>
        <w:t>仍不符合合同约定标准的，甲方有权另行购买，因此增加的费用由乙方承担，同时甲方有权要求乙方支付</w:t>
      </w:r>
      <w:r>
        <w:rPr>
          <w:rFonts w:hint="eastAsia" w:ascii="宋体" w:hAnsi="宋体" w:eastAsia="宋体" w:cs="宋体"/>
          <w:sz w:val="24"/>
          <w:szCs w:val="24"/>
          <w:u w:val="single"/>
          <w:lang w:val="zh-CN"/>
        </w:rPr>
        <w:t>合同总价款10%</w:t>
      </w:r>
      <w:r>
        <w:rPr>
          <w:rFonts w:hint="eastAsia" w:ascii="宋体" w:hAnsi="宋体" w:eastAsia="宋体" w:cs="宋体"/>
          <w:sz w:val="24"/>
          <w:szCs w:val="24"/>
          <w:lang w:val="zh-CN"/>
        </w:rPr>
        <w:t>的违约金，并赔偿甲方损失（含延误工期、业主索赔损失）。</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2、甲方所购物料</w:t>
      </w:r>
      <w:r>
        <w:rPr>
          <w:rFonts w:hint="eastAsia" w:ascii="宋体" w:hAnsi="宋体" w:eastAsia="宋体" w:cs="宋体"/>
          <w:sz w:val="24"/>
          <w:szCs w:val="24"/>
          <w:lang w:val="zh-CN"/>
        </w:rPr>
        <w:t>在运输到达甲方指定地点</w:t>
      </w:r>
      <w:r>
        <w:rPr>
          <w:rFonts w:hint="eastAsia" w:ascii="宋体" w:hAnsi="宋体" w:eastAsia="宋体" w:cs="宋体"/>
          <w:sz w:val="24"/>
          <w:szCs w:val="24"/>
          <w:lang w:val="en-US" w:eastAsia="zh-CN"/>
        </w:rPr>
        <w:t>交货</w:t>
      </w:r>
      <w:r>
        <w:rPr>
          <w:rFonts w:hint="eastAsia" w:ascii="宋体" w:hAnsi="宋体" w:eastAsia="宋体" w:cs="宋体"/>
          <w:sz w:val="24"/>
          <w:szCs w:val="24"/>
          <w:lang w:val="zh-CN"/>
        </w:rPr>
        <w:t>之前的</w:t>
      </w:r>
      <w:r>
        <w:rPr>
          <w:rFonts w:hint="eastAsia" w:ascii="宋体" w:hAnsi="宋体" w:eastAsia="宋体" w:cs="宋体"/>
          <w:sz w:val="24"/>
          <w:szCs w:val="24"/>
        </w:rPr>
        <w:t>一</w:t>
      </w:r>
      <w:r>
        <w:rPr>
          <w:rFonts w:hint="eastAsia" w:ascii="宋体" w:hAnsi="宋体" w:eastAsia="宋体" w:cs="宋体"/>
          <w:sz w:val="24"/>
          <w:szCs w:val="24"/>
          <w:lang w:val="zh-CN"/>
        </w:rPr>
        <w:t>切经济损失、安全责任概由乙方负责。</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乙方逾期交货的，按每逾期一天，应向甲方支付</w:t>
      </w:r>
      <w:r>
        <w:rPr>
          <w:rFonts w:hint="eastAsia" w:ascii="宋体" w:hAnsi="宋体" w:eastAsia="宋体" w:cs="宋体"/>
          <w:sz w:val="24"/>
          <w:szCs w:val="24"/>
          <w:u w:val="single"/>
          <w:lang w:val="zh-CN"/>
        </w:rPr>
        <w:t xml:space="preserve"> 500  </w:t>
      </w:r>
      <w:r>
        <w:rPr>
          <w:rFonts w:hint="eastAsia" w:ascii="宋体" w:hAnsi="宋体" w:eastAsia="宋体" w:cs="宋体"/>
          <w:sz w:val="24"/>
          <w:szCs w:val="24"/>
          <w:lang w:val="zh-CN"/>
        </w:rPr>
        <w:t>元违约金，逾期五日以上，甲方有权解除合同，同时要求乙方另行支付</w:t>
      </w:r>
      <w:r>
        <w:rPr>
          <w:rFonts w:hint="eastAsia" w:ascii="宋体" w:hAnsi="宋体" w:eastAsia="宋体" w:cs="宋体"/>
          <w:sz w:val="24"/>
          <w:szCs w:val="24"/>
          <w:u w:val="single"/>
          <w:lang w:val="zh-CN"/>
        </w:rPr>
        <w:t>不能交货部分货款20%</w:t>
      </w:r>
      <w:r>
        <w:rPr>
          <w:rFonts w:hint="eastAsia" w:ascii="宋体" w:hAnsi="宋体" w:eastAsia="宋体" w:cs="宋体"/>
          <w:sz w:val="24"/>
          <w:szCs w:val="24"/>
          <w:lang w:val="zh-CN"/>
        </w:rPr>
        <w:t>的违约金，并赔偿甲方因此所受的其他损失（含业主索赔等损失）。</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因乙方</w:t>
      </w:r>
      <w:r>
        <w:rPr>
          <w:rFonts w:hint="eastAsia" w:ascii="宋体" w:hAnsi="宋体" w:eastAsia="宋体" w:cs="宋体"/>
          <w:sz w:val="24"/>
          <w:szCs w:val="24"/>
        </w:rPr>
        <w:t>延迟交货</w:t>
      </w:r>
      <w:r>
        <w:rPr>
          <w:rFonts w:hint="eastAsia" w:ascii="宋体" w:hAnsi="宋体" w:eastAsia="宋体" w:cs="宋体"/>
          <w:sz w:val="24"/>
          <w:szCs w:val="24"/>
          <w:lang w:val="zh-CN"/>
        </w:rPr>
        <w:t>或者</w:t>
      </w:r>
      <w:r>
        <w:rPr>
          <w:rFonts w:hint="eastAsia" w:ascii="宋体" w:hAnsi="宋体" w:eastAsia="宋体" w:cs="宋体"/>
          <w:sz w:val="24"/>
          <w:szCs w:val="24"/>
        </w:rPr>
        <w:t>交货</w:t>
      </w:r>
      <w:r>
        <w:rPr>
          <w:rFonts w:hint="eastAsia" w:ascii="宋体" w:hAnsi="宋体" w:eastAsia="宋体" w:cs="宋体"/>
          <w:sz w:val="24"/>
          <w:szCs w:val="24"/>
          <w:lang w:val="zh-CN"/>
        </w:rPr>
        <w:t>数量与</w:t>
      </w:r>
      <w:r>
        <w:rPr>
          <w:rFonts w:hint="eastAsia" w:ascii="宋体" w:hAnsi="宋体" w:eastAsia="宋体" w:cs="宋体"/>
          <w:sz w:val="24"/>
          <w:szCs w:val="24"/>
        </w:rPr>
        <w:t>约定</w:t>
      </w:r>
      <w:r>
        <w:rPr>
          <w:rFonts w:hint="eastAsia" w:ascii="宋体" w:hAnsi="宋体" w:eastAsia="宋体" w:cs="宋体"/>
          <w:sz w:val="24"/>
          <w:szCs w:val="24"/>
          <w:lang w:val="zh-CN"/>
        </w:rPr>
        <w:t>不符，甲方有权另行购买，因此增加的费用由乙方承担。</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甲、乙双方任何一方</w:t>
      </w:r>
      <w:r>
        <w:rPr>
          <w:rFonts w:hint="eastAsia" w:ascii="宋体" w:hAnsi="宋体" w:eastAsia="宋体" w:cs="宋体"/>
          <w:sz w:val="24"/>
          <w:szCs w:val="24"/>
        </w:rPr>
        <w:t>因</w:t>
      </w:r>
      <w:r>
        <w:rPr>
          <w:rFonts w:hint="eastAsia" w:ascii="宋体" w:hAnsi="宋体" w:eastAsia="宋体" w:cs="宋体"/>
          <w:sz w:val="24"/>
          <w:szCs w:val="24"/>
          <w:lang w:val="zh-CN"/>
        </w:rPr>
        <w:t>不可抗力的原因不能履行合同时，应及时向对方</w:t>
      </w:r>
      <w:r>
        <w:rPr>
          <w:rFonts w:hint="eastAsia" w:ascii="宋体" w:hAnsi="宋体" w:eastAsia="宋体" w:cs="宋体"/>
          <w:sz w:val="24"/>
          <w:szCs w:val="24"/>
        </w:rPr>
        <w:t>说明</w:t>
      </w:r>
      <w:r>
        <w:rPr>
          <w:rFonts w:hint="eastAsia" w:ascii="宋体" w:hAnsi="宋体" w:eastAsia="宋体" w:cs="宋体"/>
          <w:sz w:val="24"/>
          <w:szCs w:val="24"/>
          <w:lang w:val="zh-CN"/>
        </w:rPr>
        <w:t>情况，可部分或</w:t>
      </w:r>
      <w:r>
        <w:rPr>
          <w:rFonts w:hint="eastAsia" w:ascii="宋体" w:hAnsi="宋体" w:eastAsia="宋体" w:cs="宋体"/>
          <w:sz w:val="24"/>
          <w:szCs w:val="24"/>
        </w:rPr>
        <w:t>全部免于承担</w:t>
      </w:r>
      <w:r>
        <w:rPr>
          <w:rFonts w:hint="eastAsia" w:ascii="宋体" w:hAnsi="宋体" w:eastAsia="宋体" w:cs="宋体"/>
          <w:sz w:val="24"/>
          <w:szCs w:val="24"/>
          <w:lang w:val="zh-CN"/>
        </w:rPr>
        <w:t>违约责任。</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lang w:val="en-US" w:eastAsia="zh-CN"/>
        </w:rPr>
        <w:t>六</w:t>
      </w:r>
      <w:r>
        <w:rPr>
          <w:rFonts w:hint="eastAsia" w:ascii="方正小标宋简体" w:hAnsi="黑体" w:eastAsia="方正小标宋简体" w:cs="黑体"/>
          <w:bCs/>
          <w:color w:val="auto"/>
          <w:sz w:val="24"/>
        </w:rPr>
        <w:t>、解决合同纠纷的方式及其它约定事项</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1、双方在</w:t>
      </w:r>
      <w:r>
        <w:rPr>
          <w:rFonts w:hint="eastAsia" w:ascii="宋体" w:hAnsi="宋体" w:eastAsia="宋体" w:cs="宋体"/>
          <w:sz w:val="24"/>
          <w:szCs w:val="24"/>
        </w:rPr>
        <w:t>合同</w:t>
      </w:r>
      <w:r>
        <w:rPr>
          <w:rFonts w:hint="eastAsia" w:ascii="宋体" w:hAnsi="宋体" w:eastAsia="宋体" w:cs="宋体"/>
          <w:sz w:val="24"/>
          <w:szCs w:val="24"/>
          <w:lang w:val="zh-CN"/>
        </w:rPr>
        <w:t>执行过程中如有争议，双方</w:t>
      </w:r>
      <w:r>
        <w:rPr>
          <w:rFonts w:hint="eastAsia" w:ascii="宋体" w:hAnsi="宋体" w:eastAsia="宋体" w:cs="宋体"/>
          <w:sz w:val="24"/>
          <w:szCs w:val="24"/>
        </w:rPr>
        <w:t>可友好</w:t>
      </w:r>
      <w:r>
        <w:rPr>
          <w:rFonts w:hint="eastAsia" w:ascii="宋体" w:hAnsi="宋体" w:eastAsia="宋体" w:cs="宋体"/>
          <w:sz w:val="24"/>
          <w:szCs w:val="24"/>
          <w:lang w:val="zh-CN"/>
        </w:rPr>
        <w:t>协商解决。甲、乙双方实在无法协商达成共识的，可以直接向甲方所在地人民法院起诉。</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2、在合同执行过程中，甲方可根据实际需要合理调整供应计划。乙方</w:t>
      </w:r>
      <w:r>
        <w:rPr>
          <w:rFonts w:hint="eastAsia" w:ascii="宋体" w:hAnsi="宋体" w:eastAsia="宋体" w:cs="宋体"/>
          <w:sz w:val="24"/>
          <w:szCs w:val="24"/>
        </w:rPr>
        <w:t>应</w:t>
      </w:r>
      <w:r>
        <w:rPr>
          <w:rFonts w:hint="eastAsia" w:ascii="宋体" w:hAnsi="宋体" w:eastAsia="宋体" w:cs="宋体"/>
          <w:sz w:val="24"/>
          <w:szCs w:val="24"/>
          <w:lang w:val="zh-CN"/>
        </w:rPr>
        <w:t>尽力配合并同时修补完善合同。</w:t>
      </w:r>
    </w:p>
    <w:p>
      <w:pPr>
        <w:keepNext w:val="0"/>
        <w:keepLines w:val="0"/>
        <w:pageBreakBefore w:val="0"/>
        <w:kinsoku/>
        <w:overflowPunct/>
        <w:topLinePunct w:val="0"/>
        <w:bidi w:val="0"/>
        <w:spacing w:line="5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lang w:val="en-US" w:eastAsia="zh-CN"/>
        </w:rPr>
        <w:t>七</w:t>
      </w:r>
      <w:r>
        <w:rPr>
          <w:rFonts w:hint="eastAsia" w:ascii="方正小标宋简体" w:hAnsi="黑体" w:eastAsia="方正小标宋简体" w:cs="黑体"/>
          <w:bCs/>
          <w:color w:val="auto"/>
          <w:sz w:val="24"/>
        </w:rPr>
        <w:t>、其它</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1、本合同所有条款内容甲、乙双方均完全理解并了解其真实意思。合同执行期内，甲、乙双方均不得随意变更或解除合同。</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2、本合同自甲、乙双方盖章时生效。</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3、合同如有未尽事宜，须经双方共同协商，做出补充规定，补充规定与合同具有同等法律效力。</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、本合同正本一式肆份，甲方执叁份，乙方执壹份，具有同等法律效力。</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甲方：（盖章）                     乙方： （盖章）</w:t>
      </w:r>
    </w:p>
    <w:p>
      <w:pPr>
        <w:keepNext w:val="0"/>
        <w:keepLines w:val="0"/>
        <w:pageBreakBefore w:val="0"/>
        <w:kinsoku/>
        <w:overflowPunct/>
        <w:topLinePunct w:val="0"/>
        <w:bidi w:val="0"/>
        <w:spacing w:line="500" w:lineRule="exact"/>
        <w:rPr>
          <w:rFonts w:hint="eastAsia" w:ascii="宋体" w:hAnsi="宋体" w:eastAsia="宋体" w:cs="宋体"/>
          <w:sz w:val="24"/>
          <w:szCs w:val="24"/>
          <w:lang w:val="zh-CN"/>
        </w:rPr>
      </w:pP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 xml:space="preserve">甲方代表：                      </w:t>
      </w:r>
      <w:r>
        <w:rPr>
          <w:rFonts w:hint="eastAsia" w:ascii="宋体" w:hAnsi="宋体" w:eastAsia="宋体" w:cs="宋体"/>
          <w:sz w:val="24"/>
          <w:szCs w:val="24"/>
        </w:rPr>
        <w:t xml:space="preserve">  </w:t>
      </w:r>
      <w:r>
        <w:rPr>
          <w:rFonts w:hint="eastAsia" w:ascii="宋体" w:hAnsi="宋体" w:eastAsia="宋体" w:cs="宋体"/>
          <w:sz w:val="24"/>
          <w:szCs w:val="24"/>
          <w:lang w:val="zh-CN"/>
        </w:rPr>
        <w:t>乙方代表：</w:t>
      </w:r>
      <w:r>
        <w:rPr>
          <w:rFonts w:hint="eastAsia" w:ascii="宋体" w:hAnsi="宋体" w:eastAsia="宋体" w:cs="宋体"/>
          <w:sz w:val="24"/>
          <w:szCs w:val="24"/>
        </w:rPr>
        <w:t xml:space="preserve">                   </w:t>
      </w:r>
    </w:p>
    <w:p>
      <w:pPr>
        <w:keepNext w:val="0"/>
        <w:keepLines w:val="0"/>
        <w:pageBreakBefore w:val="0"/>
        <w:kinsoku/>
        <w:overflowPunct/>
        <w:topLinePunct w:val="0"/>
        <w:bidi w:val="0"/>
        <w:spacing w:line="500" w:lineRule="exact"/>
        <w:ind w:firstLine="480" w:firstLineChars="200"/>
        <w:rPr>
          <w:rFonts w:hint="eastAsia" w:ascii="宋体" w:hAnsi="宋体" w:eastAsia="宋体" w:cs="宋体"/>
          <w:sz w:val="24"/>
          <w:szCs w:val="24"/>
        </w:rPr>
      </w:pPr>
    </w:p>
    <w:p>
      <w:pPr>
        <w:keepNext w:val="0"/>
        <w:keepLines w:val="0"/>
        <w:pageBreakBefore w:val="0"/>
        <w:kinsoku/>
        <w:overflowPunct/>
        <w:topLinePunct w:val="0"/>
        <w:bidi w:val="0"/>
        <w:spacing w:line="500" w:lineRule="exact"/>
        <w:ind w:firstLine="480" w:firstLineChars="200"/>
        <w:rPr>
          <w:rFonts w:hint="eastAsia"/>
        </w:rPr>
      </w:pPr>
      <w:r>
        <w:rPr>
          <w:rFonts w:hint="eastAsia" w:ascii="宋体" w:hAnsi="宋体" w:eastAsia="宋体" w:cs="宋体"/>
          <w:sz w:val="24"/>
          <w:szCs w:val="24"/>
        </w:rPr>
        <w:t xml:space="preserve">签订日期：                        </w:t>
      </w:r>
    </w:p>
    <w:p>
      <w:pPr>
        <w:pStyle w:val="13"/>
        <w:keepNext w:val="0"/>
        <w:keepLines w:val="0"/>
        <w:pageBreakBefore w:val="0"/>
        <w:kinsoku/>
        <w:overflowPunct/>
        <w:topLinePunct w:val="0"/>
        <w:bidi w:val="0"/>
        <w:spacing w:line="500" w:lineRule="exact"/>
        <w:rPr>
          <w:rFonts w:hint="eastAsia"/>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2E09BB"/>
    <w:rsid w:val="014170A2"/>
    <w:rsid w:val="01AE3368"/>
    <w:rsid w:val="04AE367F"/>
    <w:rsid w:val="05D62074"/>
    <w:rsid w:val="06D564A9"/>
    <w:rsid w:val="07BF2EEE"/>
    <w:rsid w:val="08384C4C"/>
    <w:rsid w:val="0C520D4D"/>
    <w:rsid w:val="0C9C6E6C"/>
    <w:rsid w:val="0CB71920"/>
    <w:rsid w:val="0D272F76"/>
    <w:rsid w:val="0DD27F36"/>
    <w:rsid w:val="0ED87F5F"/>
    <w:rsid w:val="0F5D4DA0"/>
    <w:rsid w:val="10775C30"/>
    <w:rsid w:val="109A26D7"/>
    <w:rsid w:val="11A734A2"/>
    <w:rsid w:val="11F90816"/>
    <w:rsid w:val="131F15FF"/>
    <w:rsid w:val="137F5E2D"/>
    <w:rsid w:val="13D441B0"/>
    <w:rsid w:val="144B6336"/>
    <w:rsid w:val="1454006D"/>
    <w:rsid w:val="14BE009A"/>
    <w:rsid w:val="14ED1B44"/>
    <w:rsid w:val="15C13B83"/>
    <w:rsid w:val="15C251DC"/>
    <w:rsid w:val="174C7453"/>
    <w:rsid w:val="178620D1"/>
    <w:rsid w:val="17B3680B"/>
    <w:rsid w:val="1B376878"/>
    <w:rsid w:val="1B707488"/>
    <w:rsid w:val="1B853C7D"/>
    <w:rsid w:val="1CCB2BC8"/>
    <w:rsid w:val="1D6A0633"/>
    <w:rsid w:val="1D8F6EA6"/>
    <w:rsid w:val="1E075E82"/>
    <w:rsid w:val="1E99149C"/>
    <w:rsid w:val="20C8024F"/>
    <w:rsid w:val="20F06823"/>
    <w:rsid w:val="21C71A00"/>
    <w:rsid w:val="21CE54A8"/>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F74A63"/>
    <w:rsid w:val="2DD357DE"/>
    <w:rsid w:val="2F1B7F1F"/>
    <w:rsid w:val="2F481BAD"/>
    <w:rsid w:val="2FC47121"/>
    <w:rsid w:val="3201033B"/>
    <w:rsid w:val="33160EAA"/>
    <w:rsid w:val="335C5F80"/>
    <w:rsid w:val="33810818"/>
    <w:rsid w:val="33D738D5"/>
    <w:rsid w:val="3416164D"/>
    <w:rsid w:val="345A1F52"/>
    <w:rsid w:val="34952507"/>
    <w:rsid w:val="34F4521A"/>
    <w:rsid w:val="350A022D"/>
    <w:rsid w:val="35A818A1"/>
    <w:rsid w:val="35E5712E"/>
    <w:rsid w:val="36591F87"/>
    <w:rsid w:val="3814321D"/>
    <w:rsid w:val="38532BF1"/>
    <w:rsid w:val="385B709E"/>
    <w:rsid w:val="399E5685"/>
    <w:rsid w:val="3A592270"/>
    <w:rsid w:val="3C1625F3"/>
    <w:rsid w:val="3C46241D"/>
    <w:rsid w:val="3DD346D0"/>
    <w:rsid w:val="3DEB0EC4"/>
    <w:rsid w:val="3F59282B"/>
    <w:rsid w:val="3F8F5F78"/>
    <w:rsid w:val="40880FC8"/>
    <w:rsid w:val="40EF52CD"/>
    <w:rsid w:val="41372294"/>
    <w:rsid w:val="41BE22F1"/>
    <w:rsid w:val="42870765"/>
    <w:rsid w:val="430B7913"/>
    <w:rsid w:val="43524393"/>
    <w:rsid w:val="438C63B2"/>
    <w:rsid w:val="43CD05CE"/>
    <w:rsid w:val="4504286C"/>
    <w:rsid w:val="45EF3262"/>
    <w:rsid w:val="464331B9"/>
    <w:rsid w:val="47CF7AA4"/>
    <w:rsid w:val="480A0900"/>
    <w:rsid w:val="487531E3"/>
    <w:rsid w:val="48F221A2"/>
    <w:rsid w:val="49D00F6E"/>
    <w:rsid w:val="4A154D51"/>
    <w:rsid w:val="4A7442FB"/>
    <w:rsid w:val="4A966407"/>
    <w:rsid w:val="4B582947"/>
    <w:rsid w:val="4BB328F5"/>
    <w:rsid w:val="4C3457E4"/>
    <w:rsid w:val="4DBD24C7"/>
    <w:rsid w:val="4DC25072"/>
    <w:rsid w:val="4E0F6509"/>
    <w:rsid w:val="4E6C5709"/>
    <w:rsid w:val="4F5F308F"/>
    <w:rsid w:val="4FBB0DE8"/>
    <w:rsid w:val="502928DF"/>
    <w:rsid w:val="5070494E"/>
    <w:rsid w:val="509B0842"/>
    <w:rsid w:val="51A13A8E"/>
    <w:rsid w:val="51F557C8"/>
    <w:rsid w:val="52013AA7"/>
    <w:rsid w:val="52232367"/>
    <w:rsid w:val="526954AF"/>
    <w:rsid w:val="52742DDF"/>
    <w:rsid w:val="55630D27"/>
    <w:rsid w:val="55B76BF4"/>
    <w:rsid w:val="5750172E"/>
    <w:rsid w:val="58792DC5"/>
    <w:rsid w:val="58D757B9"/>
    <w:rsid w:val="59466530"/>
    <w:rsid w:val="5982356F"/>
    <w:rsid w:val="599D4480"/>
    <w:rsid w:val="5B861A44"/>
    <w:rsid w:val="5D1E447C"/>
    <w:rsid w:val="5D5410B8"/>
    <w:rsid w:val="5D9A56C3"/>
    <w:rsid w:val="5EAA0265"/>
    <w:rsid w:val="60010F15"/>
    <w:rsid w:val="614918DA"/>
    <w:rsid w:val="618E08A1"/>
    <w:rsid w:val="64EF1451"/>
    <w:rsid w:val="65AD4E71"/>
    <w:rsid w:val="660E3BBD"/>
    <w:rsid w:val="6651417A"/>
    <w:rsid w:val="665C4B17"/>
    <w:rsid w:val="666509FB"/>
    <w:rsid w:val="66AF0431"/>
    <w:rsid w:val="66CF0DE5"/>
    <w:rsid w:val="67300406"/>
    <w:rsid w:val="681D761D"/>
    <w:rsid w:val="68D778BA"/>
    <w:rsid w:val="699244ED"/>
    <w:rsid w:val="6A9A31A7"/>
    <w:rsid w:val="6B0A27D5"/>
    <w:rsid w:val="6B876672"/>
    <w:rsid w:val="6D3A2547"/>
    <w:rsid w:val="6E15130F"/>
    <w:rsid w:val="6E4D7511"/>
    <w:rsid w:val="6E91448E"/>
    <w:rsid w:val="6EC425A0"/>
    <w:rsid w:val="6F296469"/>
    <w:rsid w:val="6FD131C7"/>
    <w:rsid w:val="6FE02A5C"/>
    <w:rsid w:val="717E207C"/>
    <w:rsid w:val="727F33AE"/>
    <w:rsid w:val="735D6314"/>
    <w:rsid w:val="743D52CE"/>
    <w:rsid w:val="74DA2B1D"/>
    <w:rsid w:val="760B1559"/>
    <w:rsid w:val="763F2064"/>
    <w:rsid w:val="76F20AE6"/>
    <w:rsid w:val="77100A78"/>
    <w:rsid w:val="780F5898"/>
    <w:rsid w:val="78B21B46"/>
    <w:rsid w:val="79F640F2"/>
    <w:rsid w:val="7AFB37ED"/>
    <w:rsid w:val="7B597A66"/>
    <w:rsid w:val="7BA92C79"/>
    <w:rsid w:val="7C127041"/>
    <w:rsid w:val="7C99473E"/>
    <w:rsid w:val="7D823D52"/>
    <w:rsid w:val="7DC0487A"/>
    <w:rsid w:val="7E5A6A7D"/>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5">
    <w:name w:val="font3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2023-10-20T14:11:00Z</cp:lastPrinted>
  <dcterms:modified xsi:type="dcterms:W3CDTF">2023-11-23T08:42:44Z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D873C8D3AC30405A99291DD0057E0FE8_13</vt:lpwstr>
  </property>
</Properties>
</file>