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36"/>
          <w:szCs w:val="36"/>
          <w:highlight w:val="none"/>
        </w:rPr>
      </w:pPr>
    </w:p>
    <w:p>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pPr>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2024年度养殖池塘公开招租方案书</w:t>
      </w:r>
    </w:p>
    <w:p>
      <w:pPr>
        <w:spacing w:line="240" w:lineRule="exact"/>
        <w:ind w:firstLine="565" w:firstLineChars="202"/>
        <w:rPr>
          <w:rFonts w:ascii="宋体" w:hAnsi="宋体"/>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盐城市灌东盐场发展有限公司经营管理的、租期届满的养殖池塘、匡围和水库（下统称为池塘），依法将对外公开竞租。现按照我国现行有效法律法规的规定，结合出租池塘的实际情况，拟定本方案书。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8日。公告内容为：</w:t>
      </w:r>
    </w:p>
    <w:p>
      <w:pPr>
        <w:spacing w:line="240" w:lineRule="exact"/>
        <w:jc w:val="center"/>
        <w:rPr>
          <w:rFonts w:ascii="宋体" w:hAnsi="宋体"/>
          <w:b/>
          <w:color w:val="auto"/>
          <w:sz w:val="32"/>
          <w:szCs w:val="32"/>
          <w:highlight w:val="none"/>
        </w:rPr>
      </w:pPr>
    </w:p>
    <w:p>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2024年度养殖池塘公开招租公告</w:t>
      </w:r>
    </w:p>
    <w:p>
      <w:pPr>
        <w:spacing w:line="240" w:lineRule="exact"/>
        <w:jc w:val="center"/>
        <w:rPr>
          <w:rFonts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招租人盐城市灌东盐场发展有限公司（下简称灌东盐场）拟对租期届满的养殖池塘、匡围和水库（下统称池塘）进行公开招租，相关事项公告如下：</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五、竞租保证金及预付租金的收款账户：</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pPr>
        <w:spacing w:line="520" w:lineRule="exact"/>
        <w:ind w:firstLine="565" w:firstLineChars="202"/>
        <w:jc w:val="left"/>
        <w:rPr>
          <w:rFonts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21</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22</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日（每天9：00—17:00）。</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办公楼二楼</w:t>
      </w:r>
      <w:r>
        <w:rPr>
          <w:rFonts w:hint="eastAsia" w:ascii="仿宋" w:hAnsi="仿宋" w:eastAsia="仿宋"/>
          <w:color w:val="auto"/>
          <w:sz w:val="28"/>
          <w:szCs w:val="28"/>
          <w:highlight w:val="none"/>
          <w:lang w:val="en-US" w:eastAsia="zh-CN"/>
        </w:rPr>
        <w:t>成本控制部</w:t>
      </w:r>
      <w:r>
        <w:rPr>
          <w:rFonts w:hint="eastAsia" w:ascii="仿宋" w:hAnsi="仿宋" w:eastAsia="仿宋"/>
          <w:color w:val="auto"/>
          <w:sz w:val="28"/>
          <w:szCs w:val="28"/>
          <w:highlight w:val="none"/>
        </w:rPr>
        <w:t>办公室（具体地址为响水县境内228国道路北灌东邻里中心），联系电话及联系人：杨先生（13951550715）、朱先生（15851105671）。</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22</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日18：30开始招租评审工作，评审地点在灌东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pPr>
        <w:spacing w:line="520" w:lineRule="exact"/>
        <w:ind w:firstLine="3116" w:firstLineChars="1113"/>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w:t>
      </w:r>
    </w:p>
    <w:p>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2023年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15</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540" w:lineRule="exact"/>
        <w:jc w:val="center"/>
        <w:rPr>
          <w:rFonts w:ascii="仿宋" w:hAnsi="仿宋" w:eastAsia="仿宋"/>
          <w:color w:val="auto"/>
          <w:sz w:val="28"/>
          <w:szCs w:val="28"/>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p>
    <w:p>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为保证本次招租活动顺利进行，维护招租人与竞租人的合法权利，招租人盐城市灌东盐场发展有限公司对养殖池塘、匡围和水库（下统称池塘）遵循“公开、公平、公正”的原则，依法组织公开竞租活动。</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灌东盐场2024年度养殖池塘公开招租公告》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对于本次招租的海淡水养殖池塘，如租期为不超过一年的，承租人不得放养生长周期超过一年的鱼虾、贝类等水产品。</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pPr>
        <w:numPr>
          <w:ilvl w:val="0"/>
          <w:numId w:val="0"/>
        </w:num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如果竞租人是民营非上市公司的，一名竞租人在本轮招租过程中最多承租两个标段号池塘；如一名竞租人中标超过两个标段号池塘的，由招租人自行选择其中的两个标段号池塘签署租赁合同。</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如果竞租人是非法人组织或自然人的，一名竞租人在本轮招租过程中只能承租一个标号池塘；如一名竞租人中标多个标段号池塘的，由招租人自行选择其中的一个标段号池塘签署租赁合同。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六、池塘租金采用“先付后用、一年一结”原则，在第二年租期开始前结清第二年的租金，以此类推。每年按照365日计算。</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（1）【禁止挂靠】竞租人不得存在借用他人名义进行挂靠竞租情形，否则一经发现，取消其中标资格。</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盐场海淡水养殖管理规定》、《水产品质量安全承诺书》和《养殖池塘租赁交接单》等合同附件。</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，详见《盐城市灌东盐场发展有限公司2024年度养殖池塘公开招租公告》。</w:t>
      </w:r>
    </w:p>
    <w:p>
      <w:pPr>
        <w:spacing w:line="520" w:lineRule="exact"/>
        <w:ind w:firstLine="565" w:firstLineChars="202"/>
        <w:rPr>
          <w:rFonts w:ascii="仿宋" w:hAnsi="仿宋" w:eastAsia="仿宋"/>
          <w:color w:val="auto"/>
          <w:sz w:val="28"/>
          <w:szCs w:val="28"/>
          <w:highlight w:val="none"/>
        </w:rPr>
      </w:pPr>
    </w:p>
    <w:p>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1、报价分(本项得分最高75分)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①有效竞租人的竞租报价与评标基准价相等的，得基本分70分。</w:t>
      </w:r>
      <w:r>
        <w:rPr>
          <w:rFonts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①养殖实践（本分项最高得分10分）</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得8分（按照发包人/出租人出具的书面证明材料原件进行评审。如果竞租人系招租人原承租人的，需提供</w:t>
      </w:r>
      <w:r>
        <w:rPr>
          <w:rFonts w:hint="eastAsia" w:ascii="仿宋" w:hAnsi="仿宋" w:eastAsia="仿宋"/>
          <w:color w:val="auto"/>
          <w:sz w:val="28"/>
          <w:szCs w:val="28"/>
          <w:highlight w:val="none"/>
          <w:lang w:val="en-US" w:eastAsia="zh-CN"/>
        </w:rPr>
        <w:t>招租人财务审计部和水产养殖公司出具的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240" w:lineRule="exact"/>
        <w:ind w:firstLine="565" w:firstLineChars="202"/>
        <w:rPr>
          <w:rFonts w:ascii="宋体" w:hAnsi="宋体"/>
          <w:color w:val="auto"/>
          <w:sz w:val="28"/>
          <w:szCs w:val="28"/>
          <w:highlight w:val="none"/>
        </w:rPr>
      </w:pP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在甲方组织的2024年度池塘公开招租程序中，乙方已被确定为中标人。现将相关事项确认如下：</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元自动转入第一期租金，乙方需补足履约保证金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元、第一期租金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3、在乙方交清履约保证金和第一期租金后3日内，乙方须与甲方正式签署此前已公布的《池塘租赁合同》。租赁合同中的权利义务性条款原则上不作实质性调整。</w:t>
      </w:r>
    </w:p>
    <w:p>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pPr>
        <w:spacing w:line="500" w:lineRule="exact"/>
        <w:ind w:firstLine="565" w:firstLineChars="202"/>
        <w:rPr>
          <w:rFonts w:ascii="宋体" w:hAnsi="宋体"/>
          <w:color w:val="auto"/>
          <w:sz w:val="28"/>
          <w:szCs w:val="28"/>
          <w:highlight w:val="none"/>
        </w:rPr>
      </w:pPr>
    </w:p>
    <w:p>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spacing w:line="500" w:lineRule="exact"/>
        <w:rPr>
          <w:rFonts w:ascii="宋体" w:hAnsi="宋体"/>
          <w:color w:val="auto"/>
          <w:sz w:val="28"/>
          <w:szCs w:val="28"/>
          <w:highlight w:val="none"/>
        </w:rPr>
      </w:pPr>
      <w:r>
        <w:rPr>
          <w:rFonts w:hint="eastAsia" w:ascii="宋体" w:hAnsi="宋体"/>
          <w:color w:val="auto"/>
          <w:sz w:val="28"/>
          <w:szCs w:val="28"/>
          <w:highlight w:val="none"/>
        </w:rPr>
        <w:t>签署时间：2023年  月  日</w:t>
      </w:r>
    </w:p>
    <w:p>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hint="eastAsia" w:ascii="幼圆" w:hAnsi="宋体" w:eastAsia="幼圆"/>
          <w:b/>
          <w:color w:val="auto"/>
          <w:sz w:val="28"/>
          <w:szCs w:val="28"/>
          <w:highlight w:val="none"/>
        </w:rPr>
      </w:pPr>
      <w:bookmarkStart w:id="0" w:name="OLE_LINK1"/>
      <w:bookmarkStart w:id="1" w:name="OLE_LINK2"/>
      <w:bookmarkStart w:id="2" w:name="OLE_LINK3"/>
      <w:r>
        <w:rPr>
          <w:rFonts w:hint="eastAsia" w:ascii="幼圆" w:hAnsi="宋体" w:eastAsia="幼圆"/>
          <w:b/>
          <w:color w:val="auto"/>
          <w:sz w:val="28"/>
          <w:szCs w:val="28"/>
          <w:highlight w:val="none"/>
        </w:rPr>
        <w:t xml:space="preserve">附件2：招租池塘情况一览表 </w:t>
      </w:r>
      <w:bookmarkEnd w:id="0"/>
      <w:bookmarkEnd w:id="1"/>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1229"/>
        <w:gridCol w:w="951"/>
        <w:gridCol w:w="646"/>
        <w:gridCol w:w="2211"/>
        <w:gridCol w:w="861"/>
        <w:gridCol w:w="968"/>
        <w:gridCol w:w="946"/>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招租池塘标段号</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池塘位置</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租赁面积（亩）</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养殖类型</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租赁到期时间（招租年限）</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招租底价（每亩每年人民币元）</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竞租保证金及预付租金（人民币万元）</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竞租人的具体要求（公司、非法人组织、自然人）</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原头罾盐场养殖区域1-4#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622.4</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55</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原头罾盐场养殖区域</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211.9</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15</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新东中线养殖池塘</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3958.14</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479</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原淮河工区东夹滩</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1232.83</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149</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淮八东0-4#</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647.64</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78</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淮八东10-11#</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290.7</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35</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淮八西</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2451.2</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297</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淮八西线</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1344.7</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163</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淮东一中小滩</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236.11</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新建东线1-13组池塘</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5332.12</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2024.1.1-2024.12.31（1年）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新建二、四组</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2591.37</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多功能中心池塘、新建5-8组（4-6#塘）</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546.3</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新海养殖池塘</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3365.5</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2024.1.1-2025.12.31（2年）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8-1水库</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7657.19</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淡水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2024.1.1-2026.12.31（3年）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9-1水库</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5800</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海水</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2024.1.1-2026.12.31（3年）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合计</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36288.1</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bookmarkEnd w:id="2"/>
    </w:tbl>
    <w:p>
      <w:pPr>
        <w:rPr>
          <w:color w:val="auto"/>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hint="eastAsia" w:ascii="幼圆" w:hAnsi="宋体" w:eastAsia="幼圆"/>
          <w:b/>
          <w:color w:val="auto"/>
          <w:sz w:val="28"/>
          <w:szCs w:val="28"/>
          <w:highlight w:val="none"/>
        </w:rPr>
      </w:pPr>
    </w:p>
    <w:p>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pPr>
        <w:spacing w:line="240" w:lineRule="exact"/>
        <w:rPr>
          <w:rFonts w:ascii="华文中宋" w:hAnsi="华文中宋" w:eastAsia="华文中宋"/>
          <w:b/>
          <w:color w:val="auto"/>
          <w:sz w:val="36"/>
          <w:szCs w:val="36"/>
          <w:highlight w:val="none"/>
        </w:rPr>
      </w:pP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pPr>
              <w:spacing w:line="360" w:lineRule="auto"/>
              <w:rPr>
                <w:rFonts w:ascii="仿宋" w:hAnsi="仿宋" w:eastAsia="仿宋" w:cs="Times New Roman"/>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p>
          <w:p>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2023年   月   日</w:t>
            </w:r>
          </w:p>
        </w:tc>
      </w:tr>
    </w:tbl>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仿宋" w:hAnsi="仿宋" w:eastAsia="仿宋"/>
          <w:b/>
          <w:color w:val="auto"/>
          <w:sz w:val="28"/>
          <w:szCs w:val="28"/>
          <w:highlight w:val="none"/>
          <w:u w:val="singl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ind w:firstLine="4670" w:firstLineChars="1668"/>
        <w:rPr>
          <w:rFonts w:hint="eastAsia" w:ascii="仿宋" w:hAnsi="仿宋" w:eastAsia="仿宋"/>
          <w:color w:val="auto"/>
          <w:sz w:val="28"/>
          <w:szCs w:val="28"/>
          <w:highlight w:val="none"/>
        </w:rPr>
      </w:pPr>
    </w:p>
    <w:p>
      <w:pPr>
        <w:spacing w:line="560" w:lineRule="exact"/>
        <w:ind w:firstLine="4670" w:firstLineChars="1668"/>
        <w:rPr>
          <w:rFonts w:hint="eastAsia" w:ascii="仿宋" w:hAnsi="仿宋" w:eastAsia="仿宋"/>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pPr>
        <w:spacing w:line="520" w:lineRule="exact"/>
        <w:ind w:firstLine="565" w:firstLineChars="202"/>
        <w:rPr>
          <w:rFonts w:hint="eastAsia" w:ascii="仿宋" w:hAnsi="仿宋" w:eastAsia="仿宋"/>
          <w:color w:val="auto"/>
          <w:sz w:val="28"/>
          <w:szCs w:val="28"/>
          <w:highlight w:val="none"/>
        </w:rPr>
      </w:pPr>
    </w:p>
    <w:p>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pPr>
        <w:ind w:firstLine="560" w:firstLineChars="200"/>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pPr>
        <w:spacing w:line="560" w:lineRule="exact"/>
        <w:ind w:firstLine="4393" w:firstLineChars="1569"/>
        <w:rPr>
          <w:rFonts w:ascii="仿宋" w:hAnsi="仿宋" w:eastAsia="仿宋"/>
          <w:color w:val="auto"/>
          <w:sz w:val="28"/>
          <w:szCs w:val="28"/>
          <w:highlight w:val="none"/>
        </w:rPr>
      </w:pPr>
    </w:p>
    <w:p>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hint="eastAsia" w:ascii="幼圆" w:hAnsi="宋体" w:eastAsia="幼圆"/>
          <w:b/>
          <w:color w:val="auto"/>
          <w:sz w:val="28"/>
          <w:szCs w:val="28"/>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bookmarkStart w:id="3" w:name="_GoBack"/>
      <w:bookmarkEnd w:id="3"/>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u w:val="singl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为充分利用土地资源，发展壮大甲方养殖业，本着互惠互利、共同发展原则，根据我国《民法典》等法律规定和经2024年度公开竞租池塘的评审结果，经甲乙双方协商，就乙方中标的养殖池塘签订本租赁合同。</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租赁物3:位于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租赁物4:位于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养殖，乙方不得从事大棚虾（暖棚养殖）、牛蛙、舌鳎等高密度养殖及其他行业生产。对于本次招租的海淡水养殖池塘，如租期为不超过一年的，承租人不得放养生长周期超过一年的鱼虾、贝类等水产品。</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w:t>
      </w:r>
      <w:r>
        <w:rPr>
          <w:rFonts w:hint="eastAsia" w:ascii="仿宋" w:hAnsi="仿宋" w:eastAsia="仿宋"/>
          <w:color w:val="auto"/>
          <w:sz w:val="28"/>
          <w:szCs w:val="28"/>
          <w:highlight w:val="none"/>
        </w:rPr>
        <w:t>）。</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2.租金缴纳：本租赁合同采用“先付后用，一年一付”原则，租金及其支付时间如下表：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p>
        </w:tc>
        <w:tc>
          <w:tcPr>
            <w:tcW w:w="41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日前</w:t>
            </w:r>
          </w:p>
        </w:tc>
      </w:tr>
    </w:tbl>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元人民币计算（不低于年租金标准的1.5倍）。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3.本合同未尽事宜，由甲乙双方协商解决，签订补充合同。补充合同与本合同具有同等效力。如协商不成，任何一方均可向合同履行地人民法院提起诉讼。</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6.本轮《2024年度养殖池塘公开招租方案书》及其附件的内容作为本合同的组成部分；如本合同内容与招租文件（含附件）相冲突的，以本合同为准；如本合同没有约定的，则按照招租方案书及其附件的规定执行。</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40" w:lineRule="exact"/>
        <w:ind w:firstLine="565" w:firstLineChars="202"/>
        <w:rPr>
          <w:rFonts w:ascii="仿宋" w:hAnsi="仿宋" w:eastAsia="仿宋"/>
          <w:color w:val="auto"/>
          <w:sz w:val="28"/>
          <w:szCs w:val="28"/>
          <w:highlight w:val="none"/>
        </w:rPr>
      </w:pP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pPr>
        <w:rPr>
          <w:color w:val="auto"/>
          <w:highlight w:val="none"/>
        </w:rPr>
      </w:pPr>
    </w:p>
    <w:p>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附件7: 养殖生产安全工作责任书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pPr>
        <w:spacing w:line="240" w:lineRule="exact"/>
        <w:ind w:firstLine="565" w:firstLineChars="202"/>
        <w:rPr>
          <w:rFonts w:ascii="仿宋" w:hAnsi="仿宋" w:eastAsia="仿宋"/>
          <w:color w:val="auto"/>
          <w:sz w:val="28"/>
          <w:szCs w:val="28"/>
          <w:highlight w:val="none"/>
        </w:rPr>
      </w:pP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pPr>
        <w:ind w:firstLine="565" w:firstLineChars="202"/>
        <w:rPr>
          <w:rFonts w:ascii="仿宋" w:hAnsi="仿宋" w:eastAsia="仿宋"/>
          <w:color w:val="auto"/>
          <w:sz w:val="28"/>
          <w:szCs w:val="28"/>
          <w:highlight w:val="none"/>
        </w:rPr>
      </w:pP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5" w:firstLineChars="202"/>
        <w:rPr>
          <w:rFonts w:hint="eastAsia" w:ascii="仿宋" w:hAnsi="仿宋" w:eastAsia="仿宋"/>
          <w:color w:val="auto"/>
          <w:sz w:val="28"/>
          <w:szCs w:val="28"/>
          <w:highlight w:val="none"/>
        </w:rPr>
      </w:pPr>
    </w:p>
    <w:p>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附件8: 海淡水养殖管理规定</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二三</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560" w:lineRule="exact"/>
        <w:rPr>
          <w:rFonts w:ascii="仿宋" w:hAnsi="仿宋" w:eastAsia="仿宋"/>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hint="eastAsia"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23</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jc w:val="center"/>
        <w:rPr>
          <w:rFonts w:ascii="宋体" w:hAnsi="宋体"/>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hint="eastAsia" w:ascii="幼圆" w:hAnsi="宋体" w:eastAsia="幼圆"/>
          <w:b/>
          <w:color w:val="auto"/>
          <w:sz w:val="28"/>
          <w:szCs w:val="28"/>
          <w:highlight w:val="none"/>
        </w:rPr>
      </w:pPr>
    </w:p>
    <w:p>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pPr>
        <w:spacing w:line="560" w:lineRule="exact"/>
        <w:ind w:firstLine="565" w:firstLineChars="202"/>
        <w:rPr>
          <w:rFonts w:ascii="仿宋" w:hAnsi="仿宋" w:eastAsia="仿宋"/>
          <w:color w:val="auto"/>
          <w:sz w:val="28"/>
          <w:szCs w:val="28"/>
          <w:highlight w:val="none"/>
        </w:rPr>
      </w:pPr>
    </w:p>
    <w:p>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p>
    <w:p>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auto"/>
                <w:kern w:val="0"/>
                <w:sz w:val="28"/>
                <w:szCs w:val="28"/>
                <w:highlight w:val="none"/>
              </w:rPr>
            </w:pPr>
          </w:p>
        </w:tc>
        <w:tc>
          <w:tcPr>
            <w:tcW w:w="3118" w:type="dxa"/>
          </w:tcPr>
          <w:p>
            <w:pPr>
              <w:spacing w:line="360" w:lineRule="auto"/>
              <w:rPr>
                <w:rFonts w:ascii="仿宋" w:hAnsi="仿宋" w:eastAsia="仿宋" w:cs="Times New Roman"/>
                <w:color w:val="auto"/>
                <w:kern w:val="0"/>
                <w:sz w:val="28"/>
                <w:szCs w:val="28"/>
                <w:highlight w:val="none"/>
              </w:rPr>
            </w:pPr>
          </w:p>
        </w:tc>
        <w:tc>
          <w:tcPr>
            <w:tcW w:w="2410" w:type="dxa"/>
          </w:tcPr>
          <w:p>
            <w:pPr>
              <w:spacing w:line="360" w:lineRule="auto"/>
              <w:rPr>
                <w:rFonts w:ascii="仿宋" w:hAnsi="仿宋" w:eastAsia="仿宋" w:cs="Times New Roman"/>
                <w:color w:val="auto"/>
                <w:kern w:val="0"/>
                <w:sz w:val="28"/>
                <w:szCs w:val="28"/>
                <w:highlight w:val="none"/>
              </w:rPr>
            </w:pPr>
          </w:p>
        </w:tc>
        <w:tc>
          <w:tcPr>
            <w:tcW w:w="1134" w:type="dxa"/>
          </w:tcPr>
          <w:p>
            <w:pPr>
              <w:spacing w:line="360" w:lineRule="auto"/>
              <w:rPr>
                <w:rFonts w:ascii="仿宋" w:hAnsi="仿宋" w:eastAsia="仿宋" w:cs="Times New Roman"/>
                <w:color w:val="auto"/>
                <w:kern w:val="0"/>
                <w:sz w:val="28"/>
                <w:szCs w:val="28"/>
                <w:highlight w:val="none"/>
              </w:rPr>
            </w:pPr>
          </w:p>
        </w:tc>
      </w:tr>
    </w:tbl>
    <w:p>
      <w:pPr>
        <w:spacing w:line="360" w:lineRule="auto"/>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时间：2023年  月  日</w:t>
      </w:r>
    </w:p>
    <w:p>
      <w:pPr>
        <w:spacing w:line="360" w:lineRule="auto"/>
        <w:ind w:firstLine="565" w:firstLineChars="202"/>
        <w:rPr>
          <w:rFonts w:ascii="仿宋" w:hAnsi="仿宋" w:eastAsia="仿宋"/>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pPr>
        <w:spacing w:line="240" w:lineRule="exact"/>
        <w:rPr>
          <w:rFonts w:ascii="仿宋" w:hAnsi="仿宋" w:eastAsia="仿宋"/>
          <w:b/>
          <w:color w:val="auto"/>
          <w:sz w:val="28"/>
          <w:szCs w:val="28"/>
          <w:highlight w:val="none"/>
        </w:rPr>
      </w:pPr>
    </w:p>
    <w:p>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年度养殖池塘的招租，现委托我单位正式职工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pPr>
        <w:spacing w:line="360" w:lineRule="auto"/>
        <w:ind w:firstLine="565" w:firstLineChars="202"/>
        <w:rPr>
          <w:rFonts w:ascii="仿宋" w:hAnsi="仿宋" w:eastAsia="仿宋"/>
          <w:color w:val="auto"/>
          <w:sz w:val="28"/>
          <w:szCs w:val="28"/>
          <w:highlight w:val="none"/>
        </w:rPr>
      </w:pP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auto"/>
        <w:rPr>
          <w:rFonts w:hint="eastAsia" w:ascii="幼圆" w:hAnsi="仿宋" w:eastAsia="幼圆"/>
          <w:b/>
          <w:color w:val="auto"/>
          <w:sz w:val="28"/>
          <w:szCs w:val="28"/>
          <w:highlight w:val="none"/>
        </w:rPr>
      </w:pPr>
    </w:p>
    <w:p>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pPr>
        <w:spacing w:line="240" w:lineRule="exact"/>
        <w:ind w:firstLine="565" w:firstLineChars="202"/>
        <w:rPr>
          <w:rFonts w:ascii="仿宋" w:hAnsi="仿宋" w:eastAsia="仿宋"/>
          <w:color w:val="auto"/>
          <w:sz w:val="28"/>
          <w:szCs w:val="28"/>
          <w:highlight w:val="none"/>
        </w:rPr>
      </w:pPr>
    </w:p>
    <w:p>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致出租人:盐城市灌东盐场发展有限公司</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2024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pPr>
        <w:spacing w:line="480" w:lineRule="exact"/>
        <w:ind w:firstLine="3827" w:firstLineChars="1367"/>
        <w:rPr>
          <w:rFonts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二〇二三年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盐场市灌东盐场发展有限公司：</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565" w:firstLineChars="202"/>
        <w:rPr>
          <w:rFonts w:hint="eastAsia" w:ascii="仿宋" w:hAnsi="仿宋" w:eastAsia="仿宋" w:cs="Times New Roman"/>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pPr>
        <w:spacing w:line="560" w:lineRule="exact"/>
        <w:jc w:val="center"/>
        <w:rPr>
          <w:rFonts w:ascii="Times New Roman" w:hAnsi="Times New Roman" w:eastAsia="方正小标宋_GBK" w:cs="Times New Roman"/>
          <w:color w:val="auto"/>
          <w:sz w:val="36"/>
          <w:szCs w:val="36"/>
          <w:highlight w:val="none"/>
        </w:rPr>
      </w:pP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pPr>
        <w:spacing w:line="480" w:lineRule="exact"/>
        <w:ind w:firstLine="565" w:firstLineChars="202"/>
        <w:rPr>
          <w:rFonts w:hint="eastAsia" w:ascii="仿宋" w:hAnsi="仿宋" w:eastAsia="仿宋" w:cs="Times New Roman"/>
          <w:color w:val="auto"/>
          <w:sz w:val="28"/>
          <w:szCs w:val="28"/>
          <w:highlight w:val="none"/>
        </w:rPr>
      </w:pPr>
    </w:p>
    <w:p>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签订日期：2023年  月  日</w:t>
      </w:r>
    </w:p>
    <w:p>
      <w:pPr>
        <w:rPr>
          <w:color w:val="auto"/>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p>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681363"/>
    <w:rsid w:val="04EB42F8"/>
    <w:rsid w:val="052C507E"/>
    <w:rsid w:val="06750BD0"/>
    <w:rsid w:val="073A5E06"/>
    <w:rsid w:val="084B2159"/>
    <w:rsid w:val="08F37CAD"/>
    <w:rsid w:val="0A2B57F0"/>
    <w:rsid w:val="0AC32BD5"/>
    <w:rsid w:val="0AE81D1A"/>
    <w:rsid w:val="0B477500"/>
    <w:rsid w:val="0B8A269E"/>
    <w:rsid w:val="0C093EF8"/>
    <w:rsid w:val="0D6A14D0"/>
    <w:rsid w:val="0D7A56F3"/>
    <w:rsid w:val="0D9E3DB8"/>
    <w:rsid w:val="0DAE63E8"/>
    <w:rsid w:val="0FE05822"/>
    <w:rsid w:val="102F79BA"/>
    <w:rsid w:val="10437371"/>
    <w:rsid w:val="10D86645"/>
    <w:rsid w:val="10F1147B"/>
    <w:rsid w:val="12A165D1"/>
    <w:rsid w:val="12D718D8"/>
    <w:rsid w:val="13B011C1"/>
    <w:rsid w:val="146B0BCB"/>
    <w:rsid w:val="15273154"/>
    <w:rsid w:val="167069E6"/>
    <w:rsid w:val="17CC2342"/>
    <w:rsid w:val="18A52295"/>
    <w:rsid w:val="18DC2E7A"/>
    <w:rsid w:val="1B9118D8"/>
    <w:rsid w:val="1BCB46BE"/>
    <w:rsid w:val="1BEF1EF6"/>
    <w:rsid w:val="1D9F5E03"/>
    <w:rsid w:val="1E0A5972"/>
    <w:rsid w:val="1E51209A"/>
    <w:rsid w:val="1E937B9A"/>
    <w:rsid w:val="1EB458DE"/>
    <w:rsid w:val="1FDD176B"/>
    <w:rsid w:val="205D447F"/>
    <w:rsid w:val="2152713F"/>
    <w:rsid w:val="21A45891"/>
    <w:rsid w:val="21F4671D"/>
    <w:rsid w:val="22721D38"/>
    <w:rsid w:val="23A81EB5"/>
    <w:rsid w:val="242C148F"/>
    <w:rsid w:val="24FD25E9"/>
    <w:rsid w:val="25274C9F"/>
    <w:rsid w:val="25CD67C4"/>
    <w:rsid w:val="261A696E"/>
    <w:rsid w:val="26472962"/>
    <w:rsid w:val="268E3B68"/>
    <w:rsid w:val="27EF5E9D"/>
    <w:rsid w:val="28862099"/>
    <w:rsid w:val="292962E2"/>
    <w:rsid w:val="29C00253"/>
    <w:rsid w:val="2AF30399"/>
    <w:rsid w:val="2B175A48"/>
    <w:rsid w:val="2BBD119C"/>
    <w:rsid w:val="2BC06540"/>
    <w:rsid w:val="2C416A03"/>
    <w:rsid w:val="2C701096"/>
    <w:rsid w:val="2FB35BBE"/>
    <w:rsid w:val="30510A10"/>
    <w:rsid w:val="33202BAF"/>
    <w:rsid w:val="33ED5EEE"/>
    <w:rsid w:val="340546BA"/>
    <w:rsid w:val="346A6D13"/>
    <w:rsid w:val="35C44201"/>
    <w:rsid w:val="35D233BB"/>
    <w:rsid w:val="3601240B"/>
    <w:rsid w:val="362F5B1E"/>
    <w:rsid w:val="390F1C37"/>
    <w:rsid w:val="392C4597"/>
    <w:rsid w:val="39EC12E5"/>
    <w:rsid w:val="3AED7D56"/>
    <w:rsid w:val="3B1C1D6D"/>
    <w:rsid w:val="3BA50630"/>
    <w:rsid w:val="3C153A08"/>
    <w:rsid w:val="3E864749"/>
    <w:rsid w:val="3EAC15CA"/>
    <w:rsid w:val="3EE813DE"/>
    <w:rsid w:val="3EF82BA2"/>
    <w:rsid w:val="3F660B10"/>
    <w:rsid w:val="41F540C0"/>
    <w:rsid w:val="43CA332A"/>
    <w:rsid w:val="453D55D8"/>
    <w:rsid w:val="462F56C6"/>
    <w:rsid w:val="473A2ED7"/>
    <w:rsid w:val="47AB10BC"/>
    <w:rsid w:val="49311755"/>
    <w:rsid w:val="493A702D"/>
    <w:rsid w:val="497F5A4D"/>
    <w:rsid w:val="4AD90A58"/>
    <w:rsid w:val="4B180E1F"/>
    <w:rsid w:val="4BF60027"/>
    <w:rsid w:val="4BF64B53"/>
    <w:rsid w:val="4CF90B72"/>
    <w:rsid w:val="4F2E6CF0"/>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88D193B"/>
    <w:rsid w:val="59357A9F"/>
    <w:rsid w:val="593C3F2A"/>
    <w:rsid w:val="59926240"/>
    <w:rsid w:val="5B372778"/>
    <w:rsid w:val="5C0276AD"/>
    <w:rsid w:val="5D011713"/>
    <w:rsid w:val="5E633C05"/>
    <w:rsid w:val="5EC96C00"/>
    <w:rsid w:val="605E4BE5"/>
    <w:rsid w:val="61717A4C"/>
    <w:rsid w:val="61E93BFD"/>
    <w:rsid w:val="62573154"/>
    <w:rsid w:val="62E85F3A"/>
    <w:rsid w:val="6300421A"/>
    <w:rsid w:val="6337272B"/>
    <w:rsid w:val="63C77932"/>
    <w:rsid w:val="63D93898"/>
    <w:rsid w:val="64613CDE"/>
    <w:rsid w:val="64CC5AD7"/>
    <w:rsid w:val="6532762E"/>
    <w:rsid w:val="657131AE"/>
    <w:rsid w:val="65916638"/>
    <w:rsid w:val="66FC2F4B"/>
    <w:rsid w:val="67332E10"/>
    <w:rsid w:val="675E2679"/>
    <w:rsid w:val="699D5F79"/>
    <w:rsid w:val="6C53360D"/>
    <w:rsid w:val="6CD52274"/>
    <w:rsid w:val="6D91365E"/>
    <w:rsid w:val="6DDD1B99"/>
    <w:rsid w:val="6E456669"/>
    <w:rsid w:val="6E6E7968"/>
    <w:rsid w:val="6F3008B9"/>
    <w:rsid w:val="6FA549E6"/>
    <w:rsid w:val="7315073F"/>
    <w:rsid w:val="74387CB8"/>
    <w:rsid w:val="75E11C8A"/>
    <w:rsid w:val="76E97048"/>
    <w:rsid w:val="77D76A35"/>
    <w:rsid w:val="77F2017E"/>
    <w:rsid w:val="7B1D5512"/>
    <w:rsid w:val="7B347EC4"/>
    <w:rsid w:val="7B797810"/>
    <w:rsid w:val="7BD70AF3"/>
    <w:rsid w:val="7C183F2B"/>
    <w:rsid w:val="7C5D00FB"/>
    <w:rsid w:val="7D8A70B3"/>
    <w:rsid w:val="7DBB22F8"/>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3990</Words>
  <Characters>22749</Characters>
  <Lines>189</Lines>
  <Paragraphs>53</Paragraphs>
  <TotalTime>435</TotalTime>
  <ScaleCrop>false</ScaleCrop>
  <LinksUpToDate>false</LinksUpToDate>
  <CharactersWithSpaces>26686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2023-12-11T01:40:50Z</cp:lastPrinted>
  <dcterms:modified xsi:type="dcterms:W3CDTF">2023-12-11T02:38:26Z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6775F5CE89E64457B3C0F8249A645AB0_13</vt:lpwstr>
  </property>
</Properties>
</file>