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36"/>
          <w:szCs w:val="36"/>
          <w:highlight w:val="none"/>
        </w:rPr>
      </w:pPr>
    </w:p>
    <w:p>
      <w:pPr>
        <w:jc w:val="center"/>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盐城市灌东盐场发展有限公司</w:t>
      </w:r>
    </w:p>
    <w:p>
      <w:pPr>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2024年度</w:t>
      </w:r>
      <w:r>
        <w:rPr>
          <w:rFonts w:hint="eastAsia" w:ascii="黑体" w:hAnsi="黑体" w:eastAsia="黑体"/>
          <w:color w:val="auto"/>
          <w:sz w:val="44"/>
          <w:szCs w:val="44"/>
          <w:highlight w:val="none"/>
          <w:lang w:val="en-US" w:eastAsia="zh-CN"/>
        </w:rPr>
        <w:t>边角</w:t>
      </w:r>
      <w:r>
        <w:rPr>
          <w:rFonts w:hint="eastAsia" w:ascii="黑体" w:hAnsi="黑体" w:eastAsia="黑体"/>
          <w:color w:val="auto"/>
          <w:sz w:val="44"/>
          <w:szCs w:val="44"/>
          <w:highlight w:val="none"/>
        </w:rPr>
        <w:t>池塘公开招租方案书</w:t>
      </w:r>
    </w:p>
    <w:p>
      <w:pPr>
        <w:spacing w:line="240" w:lineRule="exact"/>
        <w:ind w:firstLine="565" w:firstLineChars="202"/>
        <w:rPr>
          <w:rFonts w:ascii="宋体" w:hAnsi="宋体"/>
          <w:color w:val="auto"/>
          <w:sz w:val="28"/>
          <w:szCs w:val="28"/>
          <w:highlight w:val="none"/>
        </w:rPr>
      </w:pPr>
    </w:p>
    <w:p>
      <w:pPr>
        <w:spacing w:line="560" w:lineRule="exact"/>
        <w:ind w:firstLine="565" w:firstLineChars="202"/>
        <w:rPr>
          <w:rFonts w:ascii="宋体" w:hAnsi="宋体"/>
          <w:b/>
          <w:color w:val="auto"/>
          <w:sz w:val="28"/>
          <w:szCs w:val="28"/>
          <w:highlight w:val="none"/>
        </w:rPr>
      </w:pPr>
      <w:r>
        <w:rPr>
          <w:rFonts w:hint="eastAsia" w:ascii="宋体" w:hAnsi="宋体"/>
          <w:color w:val="auto"/>
          <w:sz w:val="28"/>
          <w:szCs w:val="28"/>
          <w:highlight w:val="none"/>
        </w:rPr>
        <w:t>盐城市灌东盐场发展有限公司经营管理的、租期届满的养殖池塘、匡围和水库（下统称为池塘），依法将对外公开竞租。现按照我国现行有效法律法规的规定，结合出租池塘的实际情况，拟定本方案书。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第一部分 招租公告</w:t>
      </w:r>
    </w:p>
    <w:p>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日。公告内容为：</w:t>
      </w:r>
    </w:p>
    <w:p>
      <w:pPr>
        <w:spacing w:line="240" w:lineRule="exact"/>
        <w:jc w:val="center"/>
        <w:rPr>
          <w:rFonts w:ascii="宋体" w:hAnsi="宋体"/>
          <w:b/>
          <w:color w:val="auto"/>
          <w:sz w:val="32"/>
          <w:szCs w:val="32"/>
          <w:highlight w:val="none"/>
        </w:rPr>
      </w:pPr>
    </w:p>
    <w:p>
      <w:pPr>
        <w:spacing w:line="4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盐城市灌东盐场发展有限公司</w:t>
      </w:r>
    </w:p>
    <w:p>
      <w:pPr>
        <w:spacing w:line="4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2024年度</w:t>
      </w:r>
      <w:r>
        <w:rPr>
          <w:rFonts w:hint="eastAsia" w:ascii="仿宋" w:hAnsi="仿宋" w:eastAsia="仿宋"/>
          <w:b/>
          <w:color w:val="auto"/>
          <w:sz w:val="28"/>
          <w:szCs w:val="28"/>
          <w:highlight w:val="none"/>
          <w:lang w:val="en-US" w:eastAsia="zh-CN"/>
        </w:rPr>
        <w:t>边角</w:t>
      </w:r>
      <w:r>
        <w:rPr>
          <w:rFonts w:hint="eastAsia" w:ascii="仿宋" w:hAnsi="仿宋" w:eastAsia="仿宋"/>
          <w:b/>
          <w:color w:val="auto"/>
          <w:sz w:val="28"/>
          <w:szCs w:val="28"/>
          <w:highlight w:val="none"/>
        </w:rPr>
        <w:t>池塘公开招租公告</w:t>
      </w:r>
      <w:bookmarkStart w:id="0" w:name="_GoBack"/>
      <w:bookmarkEnd w:id="0"/>
    </w:p>
    <w:p>
      <w:pPr>
        <w:spacing w:line="240" w:lineRule="exact"/>
        <w:jc w:val="center"/>
        <w:rPr>
          <w:rFonts w:ascii="仿宋" w:hAnsi="仿宋" w:eastAsia="仿宋"/>
          <w:color w:val="auto"/>
          <w:sz w:val="28"/>
          <w:szCs w:val="28"/>
          <w:highlight w:val="none"/>
        </w:rPr>
      </w:pP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招租人盐城市灌东盐场发展有限公司（下简称灌东盐场）拟对租期届满的养殖池塘、匡围和水库（下统称池塘）进行公开招租，相关事项公告如下：</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一、租赁池塘的概况</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灌东盐场拟招租的养殖池塘类型包括海水和淡水（具体池塘信息以《招租池塘情况一览表》为准）。池塘及其水、电、路等设施以现状为准进行招租，在本轮租赁期间，招租人不再对池塘及其设施设备进行修缮或添置等投入。</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二、租期及招租底价</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1.租赁期限：具体租赁期限详见《招租池塘情况一览表》。</w:t>
      </w:r>
      <w:r>
        <w:rPr>
          <w:rFonts w:ascii="仿宋" w:hAnsi="仿宋" w:eastAsia="仿宋"/>
          <w:color w:val="auto"/>
          <w:sz w:val="28"/>
          <w:szCs w:val="28"/>
          <w:highlight w:val="none"/>
        </w:rPr>
        <w:t xml:space="preserve"> </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2.实行“一塘一价”，竞租人按照《招租池塘情况一览表》中各个标段号的招租池塘的招租底价、租赁期限、竞租保证金、预付租金数额和对竞租人条件的具体要求等情况进行报名竞租。 </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竞租人的竞租报价不得低于招租人的招租底价。凡是低于招租底价的竞租报价均属于无效报价，招租人概不予评审。</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三、竞租人资格条件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2.如竞租人系招租人灌东盐场以前的池塘养殖承租户或承包人的，须与招租人之间就此前池塘租赁合同没有任何未处理完毕的争议，并签署了附件《声明书》和《承诺书》。</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3.招租人不接受本单位在职在岗的职工（即领取招租人工资的人员）参加池塘竞租。</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四、招租方法</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1.对竞租人实行资格后审，并采用“综合评估法”进行评审。由招租评审组按照经公示的评审规则对竞租人提交的有效竞租文件进行评审。</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3.如竞租人是某标段号竞租池塘的原承租人的，在同等条件下对原承租池塘享有优先承租权，但该原承租人必须参加对自己先前承租池塘的竞租，否则视为放弃优先承租权。</w:t>
      </w:r>
    </w:p>
    <w:p>
      <w:pPr>
        <w:spacing w:line="520" w:lineRule="exact"/>
        <w:ind w:firstLine="565" w:firstLineChars="202"/>
        <w:rPr>
          <w:rFonts w:ascii="仿宋" w:hAnsi="仿宋" w:eastAsia="仿宋"/>
          <w:b/>
          <w:bCs/>
          <w:color w:val="auto"/>
          <w:sz w:val="28"/>
          <w:szCs w:val="28"/>
          <w:highlight w:val="none"/>
        </w:rPr>
      </w:pPr>
      <w:r>
        <w:rPr>
          <w:rFonts w:hint="eastAsia" w:ascii="仿宋" w:hAnsi="仿宋" w:eastAsia="仿宋"/>
          <w:color w:val="auto"/>
          <w:sz w:val="28"/>
          <w:szCs w:val="28"/>
          <w:highlight w:val="none"/>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auto"/>
          <w:sz w:val="28"/>
          <w:szCs w:val="28"/>
          <w:highlight w:val="none"/>
        </w:rPr>
        <w:t>竞租人以银行汇款形式缴纳竞租保证金和预付租金时，要在汇款备注中注明所竞租的竞租池塘标段号和所缴纳的资金项目名称。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5.竞租人是法人单位的，如法定代表人本人不能参加竞租的，可以委托本单位的一名在职职工代为参加竞租，但须提供法定代表人签署的授权委托书原件和代理人身份证复印件（身份证原件备查）。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竞租人未按上述要求指派人员参加竞租的，视为放弃竞租权，其所缴纳的竞租保证金将不予退还。</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五、竞租保证金及预付租金的收款账户：</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中国农业银行响水陈家港支行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10405301040007299</w:t>
      </w:r>
    </w:p>
    <w:p>
      <w:pPr>
        <w:spacing w:line="520" w:lineRule="exact"/>
        <w:ind w:firstLine="565" w:firstLineChars="202"/>
        <w:jc w:val="left"/>
        <w:rPr>
          <w:rFonts w:ascii="仿宋" w:hAnsi="仿宋" w:eastAsia="仿宋"/>
          <w:color w:val="auto"/>
          <w:sz w:val="28"/>
          <w:szCs w:val="28"/>
          <w:highlight w:val="none"/>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color w:val="auto"/>
          <w:sz w:val="28"/>
          <w:szCs w:val="28"/>
          <w:highlight w:val="none"/>
        </w:rPr>
        <w:t>上述竞租材料</w:t>
      </w:r>
      <w:r>
        <w:rPr>
          <w:rFonts w:hint="eastAsia" w:ascii="仿宋" w:hAnsi="仿宋" w:eastAsia="仿宋"/>
          <w:color w:val="auto"/>
          <w:sz w:val="28"/>
          <w:szCs w:val="28"/>
          <w:highlight w:val="none"/>
        </w:rPr>
        <w:t>，应编制目录和页码，并装订成册。</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所有竞租材料必须装入文件袋内，并密封，由竞租人在封口处加盖单位印章或签名加摁手印。竞租人须对意向竞租的每一个标段号池塘制作独立的竞租材料，并分别装袋和密封。</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七、竞租材料提交的时间及地点</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1.提交时间为：2023年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25</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26</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日（每天9：00—17:00）。</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2.提交地点为：灌东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办公楼二楼</w:t>
      </w:r>
      <w:r>
        <w:rPr>
          <w:rFonts w:hint="eastAsia" w:ascii="仿宋" w:hAnsi="仿宋" w:eastAsia="仿宋"/>
          <w:color w:val="auto"/>
          <w:sz w:val="28"/>
          <w:szCs w:val="28"/>
          <w:highlight w:val="none"/>
          <w:lang w:val="en-US" w:eastAsia="zh-CN"/>
        </w:rPr>
        <w:t>成本控制部</w:t>
      </w:r>
      <w:r>
        <w:rPr>
          <w:rFonts w:hint="eastAsia" w:ascii="仿宋" w:hAnsi="仿宋" w:eastAsia="仿宋"/>
          <w:color w:val="auto"/>
          <w:sz w:val="28"/>
          <w:szCs w:val="28"/>
          <w:highlight w:val="none"/>
        </w:rPr>
        <w:t>办公室（具体地址为响水县境内228国道路北灌东邻里中心），联系电话及联系人：杨先生（13951550715）、朱先生（15851105671）。</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招租人不接受逾期提交的竞租文件。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八、招租人自2023年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26</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日18：30开始招租评审工作，评审地点在灌东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四楼会议室。</w:t>
      </w:r>
    </w:p>
    <w:p>
      <w:pPr>
        <w:spacing w:line="52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九</w:t>
      </w:r>
      <w:r>
        <w:rPr>
          <w:rFonts w:hint="eastAsia" w:ascii="仿宋" w:hAnsi="仿宋" w:eastAsia="仿宋"/>
          <w:color w:val="auto"/>
          <w:sz w:val="28"/>
          <w:szCs w:val="28"/>
          <w:highlight w:val="none"/>
        </w:rPr>
        <w:t>、</w:t>
      </w:r>
      <w:r>
        <w:rPr>
          <w:rFonts w:ascii="仿宋" w:hAnsi="仿宋" w:eastAsia="仿宋"/>
          <w:color w:val="auto"/>
          <w:sz w:val="28"/>
          <w:szCs w:val="28"/>
          <w:highlight w:val="none"/>
        </w:rPr>
        <w:t>本次池塘竞租的全套招租文件</w:t>
      </w:r>
      <w:r>
        <w:rPr>
          <w:rFonts w:hint="eastAsia" w:ascii="仿宋" w:hAnsi="仿宋" w:eastAsia="仿宋"/>
          <w:color w:val="auto"/>
          <w:sz w:val="28"/>
          <w:szCs w:val="28"/>
          <w:highlight w:val="none"/>
        </w:rPr>
        <w:t>、</w:t>
      </w:r>
      <w:r>
        <w:rPr>
          <w:rFonts w:ascii="仿宋" w:hAnsi="仿宋" w:eastAsia="仿宋"/>
          <w:color w:val="auto"/>
          <w:sz w:val="28"/>
          <w:szCs w:val="28"/>
          <w:highlight w:val="none"/>
        </w:rPr>
        <w:t>竞租</w:t>
      </w:r>
      <w:r>
        <w:rPr>
          <w:rFonts w:hint="eastAsia" w:ascii="仿宋" w:hAnsi="仿宋" w:eastAsia="仿宋"/>
          <w:color w:val="auto"/>
          <w:sz w:val="28"/>
          <w:szCs w:val="28"/>
          <w:highlight w:val="none"/>
        </w:rPr>
        <w:t>材料参考格式（含所有附件）</w:t>
      </w:r>
      <w:r>
        <w:rPr>
          <w:rFonts w:ascii="仿宋" w:hAnsi="仿宋" w:eastAsia="仿宋"/>
          <w:color w:val="auto"/>
          <w:sz w:val="28"/>
          <w:szCs w:val="28"/>
          <w:highlight w:val="none"/>
        </w:rPr>
        <w:t>和信息</w:t>
      </w:r>
      <w:r>
        <w:rPr>
          <w:rFonts w:hint="eastAsia" w:ascii="仿宋" w:hAnsi="仿宋" w:eastAsia="仿宋"/>
          <w:color w:val="auto"/>
          <w:sz w:val="28"/>
          <w:szCs w:val="28"/>
          <w:highlight w:val="none"/>
        </w:rPr>
        <w:t>，</w:t>
      </w:r>
      <w:r>
        <w:rPr>
          <w:rFonts w:ascii="仿宋" w:hAnsi="仿宋" w:eastAsia="仿宋"/>
          <w:color w:val="auto"/>
          <w:sz w:val="28"/>
          <w:szCs w:val="28"/>
          <w:highlight w:val="none"/>
        </w:rPr>
        <w:t>请竞租人查阅</w:t>
      </w:r>
      <w:r>
        <w:rPr>
          <w:rFonts w:hint="eastAsia" w:ascii="仿宋" w:hAnsi="仿宋" w:eastAsia="仿宋"/>
          <w:color w:val="auto"/>
          <w:sz w:val="28"/>
          <w:szCs w:val="28"/>
          <w:highlight w:val="none"/>
          <w:u w:val="single"/>
        </w:rPr>
        <w:t xml:space="preserve"> 盐城市海兴集团有限公司 </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http://ychxjt.com.cn/</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）和</w:t>
      </w:r>
      <w:r>
        <w:rPr>
          <w:rFonts w:hint="eastAsia" w:ascii="仿宋" w:hAnsi="仿宋" w:eastAsia="仿宋"/>
          <w:color w:val="auto"/>
          <w:sz w:val="28"/>
          <w:szCs w:val="28"/>
          <w:highlight w:val="none"/>
          <w:u w:val="single"/>
        </w:rPr>
        <w:t>盐城市灌东盐场发展有限公司</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http://www.ycgdfz.com/</w:t>
      </w:r>
      <w:r>
        <w:rPr>
          <w:rFonts w:hint="eastAsia" w:ascii="仿宋" w:hAnsi="仿宋" w:eastAsia="仿宋"/>
          <w:color w:val="auto"/>
          <w:sz w:val="28"/>
          <w:szCs w:val="28"/>
          <w:highlight w:val="none"/>
        </w:rPr>
        <w:t>）。</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十、本招租文件的最终解释权归招租人享有。如果招租事项发生变化的，招租人将通过上述网站及时公告。</w:t>
      </w:r>
    </w:p>
    <w:p>
      <w:pPr>
        <w:spacing w:line="520" w:lineRule="exact"/>
        <w:ind w:firstLine="3116" w:firstLineChars="1113"/>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w:t>
      </w:r>
    </w:p>
    <w:p>
      <w:pPr>
        <w:spacing w:line="520" w:lineRule="exact"/>
        <w:ind w:firstLine="4200" w:firstLineChars="1500"/>
        <w:rPr>
          <w:rFonts w:ascii="仿宋" w:hAnsi="仿宋" w:eastAsia="仿宋"/>
          <w:color w:val="auto"/>
          <w:sz w:val="28"/>
          <w:szCs w:val="28"/>
          <w:highlight w:val="none"/>
        </w:rPr>
      </w:pPr>
      <w:r>
        <w:rPr>
          <w:rFonts w:hint="eastAsia" w:ascii="仿宋" w:hAnsi="仿宋" w:eastAsia="仿宋"/>
          <w:color w:val="auto"/>
          <w:sz w:val="28"/>
          <w:szCs w:val="28"/>
          <w:highlight w:val="none"/>
        </w:rPr>
        <w:t>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19</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540" w:lineRule="exact"/>
        <w:jc w:val="center"/>
        <w:rPr>
          <w:rFonts w:ascii="仿宋" w:hAnsi="仿宋" w:eastAsia="仿宋"/>
          <w:color w:val="auto"/>
          <w:sz w:val="28"/>
          <w:szCs w:val="28"/>
          <w:highlight w:val="none"/>
        </w:rPr>
      </w:pPr>
    </w:p>
    <w:p>
      <w:pPr>
        <w:spacing w:line="720" w:lineRule="auto"/>
        <w:jc w:val="center"/>
        <w:rPr>
          <w:rFonts w:hint="eastAsia" w:ascii="宋体" w:hAnsi="宋体"/>
          <w:b/>
          <w:color w:val="auto"/>
          <w:sz w:val="32"/>
          <w:szCs w:val="32"/>
          <w:highlight w:val="none"/>
        </w:rPr>
      </w:pPr>
    </w:p>
    <w:p>
      <w:pPr>
        <w:spacing w:line="720" w:lineRule="auto"/>
        <w:jc w:val="center"/>
        <w:rPr>
          <w:rFonts w:hint="eastAsia" w:ascii="宋体" w:hAnsi="宋体"/>
          <w:b/>
          <w:color w:val="auto"/>
          <w:sz w:val="32"/>
          <w:szCs w:val="32"/>
          <w:highlight w:val="none"/>
        </w:rPr>
      </w:pPr>
    </w:p>
    <w:p>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第二部分 竞租须知</w:t>
      </w:r>
    </w:p>
    <w:p>
      <w:pPr>
        <w:spacing w:line="52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竞租须知主要告知竞租人在竞租过程中应当注意的有关事项。按照企业国有资产的相关规定，结合招租的习惯性做法，竞租须知的内容如下：</w:t>
      </w:r>
    </w:p>
    <w:p>
      <w:pPr>
        <w:spacing w:line="520" w:lineRule="exact"/>
        <w:jc w:val="center"/>
        <w:rPr>
          <w:rFonts w:ascii="仿宋" w:hAnsi="仿宋" w:eastAsia="仿宋"/>
          <w:color w:val="auto"/>
          <w:sz w:val="28"/>
          <w:szCs w:val="28"/>
          <w:highlight w:val="none"/>
        </w:rPr>
      </w:pPr>
      <w:r>
        <w:rPr>
          <w:rFonts w:hint="eastAsia" w:ascii="仿宋" w:hAnsi="仿宋" w:eastAsia="仿宋"/>
          <w:b/>
          <w:color w:val="auto"/>
          <w:sz w:val="28"/>
          <w:szCs w:val="28"/>
          <w:highlight w:val="none"/>
        </w:rPr>
        <w:t>竞租须知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为保证本次招租活动顺利进行，维护招租人与竞租人的合法权利，招租人盐城市灌东盐场发展有限公司对养殖池塘、匡围和水库（下统称池塘）遵循“公开、公平、公正”的原则，依法组织公开竞租活动。</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本次招租按照企业国有资产规定和公开竞租惯例，特作如下告知：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一、竞租人必须按照《灌东盐场2024年度</w:t>
      </w:r>
      <w:r>
        <w:rPr>
          <w:rFonts w:hint="eastAsia" w:ascii="仿宋" w:hAnsi="仿宋" w:eastAsia="仿宋"/>
          <w:color w:val="auto"/>
          <w:sz w:val="28"/>
          <w:szCs w:val="28"/>
          <w:highlight w:val="none"/>
          <w:lang w:val="en-US" w:eastAsia="zh-CN"/>
        </w:rPr>
        <w:t>边角</w:t>
      </w:r>
      <w:r>
        <w:rPr>
          <w:rFonts w:hint="eastAsia" w:ascii="仿宋" w:hAnsi="仿宋" w:eastAsia="仿宋"/>
          <w:color w:val="auto"/>
          <w:sz w:val="28"/>
          <w:szCs w:val="28"/>
          <w:highlight w:val="none"/>
        </w:rPr>
        <w:t>池塘公开招租公告》的要求，认真查阅《招租池塘情况一览表》相关池塘信息，按时足额汇付竞租保证金和预付租金，制作和密封竞租材料、提交竞租材料、指派人员参加等，并了解第三部分招租评审规则。</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对于本次招租的海淡水养殖池塘，如租期为不超过一年的，承租人不得放养生长周期超过一年的鱼虾、贝类等水产品。</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等情形。竞租人中标后，必须自行组织生产，不得擅自转租分租，且不得以任何理由与此前曾积欠招租人租金的单位或个人、或曾占用招租人养殖池塘或土地的单位或个人、或与招租人存在未决的争议纠纷的单位或个人进行任何形式的合作（招租人书面同意的除外）。</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本次招租的池塘及其水、电、路等设施是以现状为准进行招租，在本期租赁期间，招租人不再对池塘及其设施进行修缮或添置等投入。如承租人需对池塘及其设施进行改造或添置的，须</w:t>
      </w:r>
      <w:r>
        <w:rPr>
          <w:rFonts w:hint="eastAsia" w:ascii="仿宋" w:hAnsi="仿宋" w:eastAsia="仿宋"/>
          <w:color w:val="auto"/>
          <w:sz w:val="28"/>
          <w:szCs w:val="28"/>
          <w:highlight w:val="none"/>
          <w:lang w:val="en-US" w:eastAsia="zh-CN"/>
        </w:rPr>
        <w:t>经养殖区同意并</w:t>
      </w:r>
      <w:r>
        <w:rPr>
          <w:rFonts w:hint="eastAsia" w:ascii="仿宋" w:hAnsi="仿宋" w:eastAsia="仿宋"/>
          <w:color w:val="auto"/>
          <w:sz w:val="28"/>
          <w:szCs w:val="28"/>
          <w:highlight w:val="none"/>
        </w:rPr>
        <w:t>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就某一标段号池塘，如果仅有一名竞租人参加竞租的且该竞租人及其报价符合评审条件的，则由该竞租人中标。</w:t>
      </w:r>
    </w:p>
    <w:p>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如某一池塘出现无人竞租、全部为无效标导致流标的，招租人可以重新招租，也可以直接议标确定承租人。</w:t>
      </w:r>
    </w:p>
    <w:p>
      <w:pPr>
        <w:numPr>
          <w:ilvl w:val="0"/>
          <w:numId w:val="1"/>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果竞租人是上市公司（含占股超过50%的子公司）或国有企业（含占股超过50%的子公司）的，一名竞租人在本轮招租过程中最多承租四个标段号池塘；如一名竞租人中标超过四个标段号池塘的，由招租人自行选择其中的四个标段号池塘签署租赁合同。</w:t>
      </w:r>
    </w:p>
    <w:p>
      <w:pPr>
        <w:numPr>
          <w:ilvl w:val="0"/>
          <w:numId w:val="0"/>
        </w:num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如果竞租人是民营非上市公司的，一名竞租人在本轮招租过程中最多承租两个标段号池塘；如一名竞租人中标超过两个标段号池塘的，由招租人自行选择其中的两个标段号池塘签署租赁合同。</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如果竞租人是非法人组织或自然人的，一名竞租人在本轮招租过程中只能承租一个标号池塘；如一名竞租人中标多个标段号池塘的，由招租人自行选择其中的一个标段号池塘签署租赁合同。</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中标人签署《中标确认书》后，竞租保证金自动转为履约保证金，预付租金自动转为合同租金；履约保证金和合同租金的不足部分由中标人7日内补足。</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7日内交清履约保证金和合同租金后，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六、池塘租金采用“先付后用、一年一结”原则，在第二年租期开始前结清第二年的租金，以此类推。每年按照365日计算。</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七、特别提示：</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（1）【禁止挂靠】竞租人不得存在借用他人名义进行挂靠竞租情形，否则一经发现，取消其中标资格。</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（3）【综合评审】按照竞租文件规定的“综合评分法”进行评审，不仅需要评审竞租人的报价，还要评审竞租人的养殖实践、经验、信用以及担保等方面。</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租金金额的影响。</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中标候选人弃标的，招租人有权不再退还投标保证金。</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中标人在签署《池塘租赁合同》时，须签署附件《养殖生产安全工作责任书》、《水产养殖安全环保承诺书》、《盐场海淡水养殖管理规定》、《水产品质量安全承诺书》和《养殖池塘租赁交接单》等合同附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九、中标无效的情形</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1.在中标结果公示期内，发现中标人不符合竞租人资格条件的；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2.中标人与未中标的投标人之间存在恶意串通以压低竞租报价的；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3.中标人和招租人工作人员恶意串通以谋求中标的；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4.中标人存在伪造虚假的竞租材料的。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竞租人可能存在的其他情形不作为认定中标无效的依据。认定中标无效的权利由招租人享有和行使。</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十、本招租文件中所称的“招租人”专指盐城市灌东盐场发展有限公司；“发包人”“出租人”是指我国区域范围内的、包括招租人在内的池塘/匡围/水库的发包人或出租人。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十一、其他招租</w:t>
      </w:r>
      <w:r>
        <w:rPr>
          <w:rFonts w:ascii="仿宋" w:hAnsi="仿宋" w:eastAsia="仿宋"/>
          <w:color w:val="auto"/>
          <w:sz w:val="28"/>
          <w:szCs w:val="28"/>
          <w:highlight w:val="none"/>
        </w:rPr>
        <w:t>事项</w:t>
      </w:r>
      <w:r>
        <w:rPr>
          <w:rFonts w:hint="eastAsia" w:ascii="仿宋" w:hAnsi="仿宋" w:eastAsia="仿宋"/>
          <w:color w:val="auto"/>
          <w:sz w:val="28"/>
          <w:szCs w:val="28"/>
          <w:highlight w:val="none"/>
        </w:rPr>
        <w:t>，详见《盐城市灌东盐场发展有限公司2024年度养殖池塘公开招租公告》。</w:t>
      </w:r>
    </w:p>
    <w:p>
      <w:pPr>
        <w:spacing w:line="520" w:lineRule="exact"/>
        <w:ind w:firstLine="565" w:firstLineChars="202"/>
        <w:rPr>
          <w:rFonts w:ascii="仿宋" w:hAnsi="仿宋" w:eastAsia="仿宋"/>
          <w:color w:val="auto"/>
          <w:sz w:val="28"/>
          <w:szCs w:val="28"/>
          <w:highlight w:val="none"/>
        </w:rPr>
      </w:pPr>
    </w:p>
    <w:p>
      <w:pPr>
        <w:spacing w:line="720" w:lineRule="auto"/>
        <w:jc w:val="center"/>
        <w:rPr>
          <w:rFonts w:ascii="宋体" w:hAnsi="宋体"/>
          <w:b/>
          <w:color w:val="auto"/>
          <w:sz w:val="28"/>
          <w:szCs w:val="28"/>
          <w:highlight w:val="none"/>
        </w:rPr>
      </w:pPr>
      <w:r>
        <w:rPr>
          <w:rFonts w:hint="eastAsia" w:ascii="宋体" w:hAnsi="宋体"/>
          <w:b/>
          <w:color w:val="auto"/>
          <w:sz w:val="28"/>
          <w:szCs w:val="28"/>
          <w:highlight w:val="none"/>
        </w:rPr>
        <w:t>第三部分 竞租评审规则和合同授予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一、由招租人委托评审人员组建“招租评审组”，按照经公示的评审规则进行评审积分工作。招租评审组现场推选一名负责人，主持评审组工作。</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（一）总分及评审原则</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本项目评分总分值为100分。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2、对有效竞租报价的竞租材料进行评审：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①竞租人条件符合招租方案的要求；</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②竞租人的竞租报价不低于招租人的招租底价；</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③竞租人已经足额缴纳《招租池塘情况一览表》中列明的意向竞租池塘的竞租保证金及预付租金。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（二）评审因素和计分标准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1、报价分(本项得分最高75分)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评标基准价的确定：以有效竞租人的竞租报价算术平均值为评标基准价（若</w:t>
      </w:r>
      <w:r>
        <w:rPr>
          <w:rFonts w:ascii="仿宋" w:hAnsi="仿宋" w:eastAsia="仿宋"/>
          <w:color w:val="auto"/>
          <w:sz w:val="28"/>
          <w:szCs w:val="28"/>
          <w:highlight w:val="none"/>
        </w:rPr>
        <w:t>7</w:t>
      </w:r>
      <w:r>
        <w:rPr>
          <w:rFonts w:hint="eastAsia" w:ascii="仿宋" w:hAnsi="仿宋" w:eastAsia="仿宋"/>
          <w:color w:val="auto"/>
          <w:sz w:val="28"/>
          <w:szCs w:val="28"/>
          <w:highlight w:val="none"/>
        </w:rPr>
        <w:t>≤有效竞租报价</w:t>
      </w:r>
      <w:r>
        <w:rPr>
          <w:rFonts w:ascii="仿宋" w:hAnsi="仿宋" w:eastAsia="仿宋"/>
          <w:color w:val="auto"/>
          <w:sz w:val="28"/>
          <w:szCs w:val="28"/>
          <w:highlight w:val="none"/>
        </w:rPr>
        <w:t xml:space="preserve">&lt;10 </w:t>
      </w:r>
      <w:r>
        <w:rPr>
          <w:rFonts w:hint="eastAsia" w:ascii="仿宋" w:hAnsi="仿宋" w:eastAsia="仿宋"/>
          <w:color w:val="auto"/>
          <w:sz w:val="28"/>
          <w:szCs w:val="28"/>
          <w:highlight w:val="none"/>
        </w:rPr>
        <w:t>家时，去掉其中的一个最高价和一个最低价后取算术平均值；若有效竞租文件≥</w:t>
      </w:r>
      <w:r>
        <w:rPr>
          <w:rFonts w:ascii="仿宋" w:hAnsi="仿宋" w:eastAsia="仿宋"/>
          <w:color w:val="auto"/>
          <w:sz w:val="28"/>
          <w:szCs w:val="28"/>
          <w:highlight w:val="none"/>
        </w:rPr>
        <w:t xml:space="preserve">10 </w:t>
      </w:r>
      <w:r>
        <w:rPr>
          <w:rFonts w:hint="eastAsia" w:ascii="仿宋" w:hAnsi="仿宋" w:eastAsia="仿宋"/>
          <w:color w:val="auto"/>
          <w:sz w:val="28"/>
          <w:szCs w:val="28"/>
          <w:highlight w:val="none"/>
        </w:rPr>
        <w:t>家时，去掉其中的两个最高价和两个最低价后取算术平均值）。</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①有效竞租人的竞租报价与评标基准价相等的，得基本分70分。</w:t>
      </w:r>
      <w:r>
        <w:rPr>
          <w:rFonts w:ascii="仿宋" w:hAnsi="仿宋" w:eastAsia="仿宋"/>
          <w:color w:val="auto"/>
          <w:sz w:val="28"/>
          <w:szCs w:val="28"/>
          <w:highlight w:val="none"/>
        </w:rPr>
        <w:t xml:space="preserve">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②有效竞租人的竞租报价高于评标基准价的，每高</w:t>
      </w:r>
      <w:r>
        <w:rPr>
          <w:rFonts w:ascii="仿宋" w:hAnsi="仿宋" w:eastAsia="仿宋"/>
          <w:color w:val="auto"/>
          <w:sz w:val="28"/>
          <w:szCs w:val="28"/>
          <w:highlight w:val="none"/>
        </w:rPr>
        <w:t>1%</w:t>
      </w:r>
      <w:r>
        <w:rPr>
          <w:rFonts w:hint="eastAsia" w:ascii="仿宋" w:hAnsi="仿宋" w:eastAsia="仿宋"/>
          <w:color w:val="auto"/>
          <w:sz w:val="28"/>
          <w:szCs w:val="28"/>
          <w:highlight w:val="none"/>
        </w:rPr>
        <w:t>，加0.1分，不足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 xml:space="preserve">，按插入法计算。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③有效竞租人的竞租报价低于评标基准价的，每低</w:t>
      </w:r>
      <w:r>
        <w:rPr>
          <w:rFonts w:ascii="仿宋" w:hAnsi="仿宋" w:eastAsia="仿宋"/>
          <w:color w:val="auto"/>
          <w:sz w:val="28"/>
          <w:szCs w:val="28"/>
          <w:highlight w:val="none"/>
        </w:rPr>
        <w:t>1%</w:t>
      </w:r>
      <w:r>
        <w:rPr>
          <w:rFonts w:hint="eastAsia" w:ascii="仿宋" w:hAnsi="仿宋" w:eastAsia="仿宋"/>
          <w:color w:val="auto"/>
          <w:sz w:val="28"/>
          <w:szCs w:val="28"/>
          <w:highlight w:val="none"/>
        </w:rPr>
        <w:t>，扣0.1分，不足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，按插入法计算。竞租报价低于竞租底价时，作无效报价处理。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说明：上述的评标基准价不因评标后竞租人的质疑、投诉、复议以及其它任何情形而改变（计算错误除外）。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2、业绩分（本项最高得分15分）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①养殖实践（本分项最高得分10分）</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最近五年内（自2019年1月1日起至2023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②养殖方案（本分项最高得分5分）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3、信誉分（本项最高得分10分）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得8分（按照发包人/出租人出具的书面证明材料原件进行评审。如果竞租人系招租人原承租人的，需提供</w:t>
      </w:r>
      <w:r>
        <w:rPr>
          <w:rFonts w:hint="eastAsia" w:ascii="仿宋" w:hAnsi="仿宋" w:eastAsia="仿宋"/>
          <w:color w:val="auto"/>
          <w:sz w:val="28"/>
          <w:szCs w:val="28"/>
          <w:highlight w:val="none"/>
          <w:lang w:val="en-US" w:eastAsia="zh-CN"/>
        </w:rPr>
        <w:t>招租人财务审计部和水产养殖公司出具的</w:t>
      </w:r>
      <w:r>
        <w:rPr>
          <w:rFonts w:hint="eastAsia" w:ascii="仿宋" w:hAnsi="仿宋" w:eastAsia="仿宋"/>
          <w:color w:val="auto"/>
          <w:sz w:val="28"/>
          <w:szCs w:val="28"/>
          <w:highlight w:val="none"/>
        </w:rPr>
        <w:t>上述书面材料，由招租人统一审查。按照2019年以来的惯例，竞租人为新注册的公司的，其法定代表人此前的信誉记录纳入公司信誉记录）。</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三、评审注意事项</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1、评审组成员（评委）为5人或7人，评审组成员到达评标现场时应在《签到表》上签到以证明其出席。</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2、评审组成员推选一名评标组负责人，主持招租评审组工作，负责评标活动的组织和协调工作。</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3、评审组负责人应组织评标组成员认真研究招租方案。未在招租方案中规定的评审因素、标准或方法，不得作为评审的依据。</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4、评委应记名打分，打分未记名的或未按招租方案规定的评标办法打分的，一律按无效票处理。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评委打分时，以</w:t>
      </w:r>
      <w:r>
        <w:rPr>
          <w:rFonts w:ascii="仿宋" w:hAnsi="仿宋" w:eastAsia="仿宋"/>
          <w:color w:val="auto"/>
          <w:sz w:val="28"/>
          <w:szCs w:val="28"/>
          <w:highlight w:val="none"/>
        </w:rPr>
        <w:t>0.</w:t>
      </w:r>
      <w:r>
        <w:rPr>
          <w:rFonts w:hint="eastAsia" w:ascii="仿宋" w:hAnsi="仿宋" w:eastAsia="仿宋"/>
          <w:color w:val="auto"/>
          <w:sz w:val="28"/>
          <w:szCs w:val="28"/>
          <w:highlight w:val="none"/>
        </w:rPr>
        <w:t>0</w:t>
      </w:r>
      <w:r>
        <w:rPr>
          <w:rFonts w:ascii="仿宋" w:hAnsi="仿宋" w:eastAsia="仿宋"/>
          <w:color w:val="auto"/>
          <w:sz w:val="28"/>
          <w:szCs w:val="28"/>
          <w:highlight w:val="none"/>
        </w:rPr>
        <w:t>1</w:t>
      </w:r>
      <w:r>
        <w:rPr>
          <w:rFonts w:hint="eastAsia" w:ascii="仿宋" w:hAnsi="仿宋" w:eastAsia="仿宋"/>
          <w:color w:val="auto"/>
          <w:sz w:val="28"/>
          <w:szCs w:val="28"/>
          <w:highlight w:val="none"/>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6、在招租过程中发生行贿受贿、请客送礼、扰乱招租活动秩序、提供虚假资料参加竞租及其他严重违法违纪行为的，一律取消有关竞租人参与竞租活动的资格；影响评审结果的，应宣布评审结果无效。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四、定标相关事项</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3、就某一标段号池塘，如果仅有一名竞租人参加竞租的且该竞租人及其报价符合评审条件的，则由该竞租人中标。</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4、如某一池塘出现无人竞租、全部为无效标导致流标的，招租人可以重新招租，也可以直接议标确定承租人。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六、特别提示：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color w:val="auto"/>
          <w:sz w:val="28"/>
          <w:szCs w:val="28"/>
          <w:highlight w:val="none"/>
        </w:rPr>
        <w:t>给招</w:t>
      </w:r>
      <w:r>
        <w:rPr>
          <w:rFonts w:hint="eastAsia" w:ascii="仿宋" w:hAnsi="仿宋" w:eastAsia="仿宋"/>
          <w:color w:val="auto"/>
          <w:sz w:val="28"/>
          <w:szCs w:val="28"/>
          <w:highlight w:val="none"/>
        </w:rPr>
        <w:t>租</w:t>
      </w:r>
      <w:r>
        <w:rPr>
          <w:rFonts w:ascii="仿宋" w:hAnsi="仿宋" w:eastAsia="仿宋"/>
          <w:color w:val="auto"/>
          <w:sz w:val="28"/>
          <w:szCs w:val="28"/>
          <w:highlight w:val="none"/>
        </w:rPr>
        <w:t>人</w:t>
      </w:r>
      <w:r>
        <w:rPr>
          <w:rFonts w:hint="eastAsia" w:ascii="仿宋" w:hAnsi="仿宋" w:eastAsia="仿宋"/>
          <w:color w:val="auto"/>
          <w:sz w:val="28"/>
          <w:szCs w:val="28"/>
          <w:highlight w:val="none"/>
        </w:rPr>
        <w:t>。</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2、中标候选人弃标的，招租人还有权不再退还其投标保证金或履约保证金。 </w:t>
      </w:r>
    </w:p>
    <w:p>
      <w:pPr>
        <w:spacing w:line="58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附件1：中标确认书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中标确认书</w:t>
      </w:r>
    </w:p>
    <w:p>
      <w:pPr>
        <w:spacing w:line="560" w:lineRule="exact"/>
        <w:ind w:firstLine="565" w:firstLineChars="202"/>
        <w:rPr>
          <w:rFonts w:ascii="宋体" w:hAnsi="宋体"/>
          <w:color w:val="auto"/>
          <w:sz w:val="28"/>
          <w:szCs w:val="28"/>
          <w:highlight w:val="none"/>
          <w:u w:val="single"/>
        </w:rPr>
      </w:pPr>
      <w:r>
        <w:rPr>
          <w:rFonts w:hint="eastAsia" w:ascii="宋体" w:hAnsi="宋体"/>
          <w:color w:val="auto"/>
          <w:sz w:val="28"/>
          <w:szCs w:val="28"/>
          <w:highlight w:val="none"/>
        </w:rPr>
        <w:t>甲方（招租人）：</w:t>
      </w:r>
      <w:r>
        <w:rPr>
          <w:rFonts w:hint="eastAsia" w:ascii="宋体" w:hAnsi="宋体"/>
          <w:color w:val="auto"/>
          <w:sz w:val="28"/>
          <w:szCs w:val="28"/>
          <w:highlight w:val="none"/>
          <w:u w:val="single"/>
        </w:rPr>
        <w:t xml:space="preserve">  盐城市灌东盐场发展有限公司  </w:t>
      </w:r>
    </w:p>
    <w:p>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乙方（中标人）：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240" w:lineRule="exact"/>
        <w:ind w:firstLine="565" w:firstLineChars="202"/>
        <w:rPr>
          <w:rFonts w:ascii="宋体" w:hAnsi="宋体"/>
          <w:color w:val="auto"/>
          <w:sz w:val="28"/>
          <w:szCs w:val="28"/>
          <w:highlight w:val="none"/>
        </w:rPr>
      </w:pP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在甲方组织的2024年度池塘公开招租程序中，乙方已被确定为中标人。现将相关事项确认如下：</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1、乙方竞租成功的池塘为甲方公布的《招租池塘情况一览表》中载明的第</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标段号池塘/水库。</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2、乙方应缴纳的履约保证金为小写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元；第一期租金为小写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元。合计总金额为小写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元。乙方已缴纳的竞租保证金小写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元自动转入履约保证金，预付租金小写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元自动转入第一期租金，乙方需补足履约保证金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元、第一期租金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。上述两项合计人民币大写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元，由乙方自签署本确认书后7日内付清。</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3、在乙方交清履约保证金和第一期租金后3日内，乙方须与甲方正式签署此前已公布的《池塘租赁合同》。租赁合同中的权利义务性条款原则上不作实质性调整。</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pPr>
        <w:spacing w:line="500" w:lineRule="exact"/>
        <w:ind w:firstLine="565" w:firstLineChars="202"/>
        <w:rPr>
          <w:rFonts w:ascii="宋体" w:hAnsi="宋体"/>
          <w:color w:val="auto"/>
          <w:sz w:val="28"/>
          <w:szCs w:val="28"/>
          <w:highlight w:val="none"/>
        </w:rPr>
      </w:pPr>
    </w:p>
    <w:p>
      <w:pPr>
        <w:spacing w:line="500" w:lineRule="exact"/>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p>
    <w:p>
      <w:pPr>
        <w:spacing w:line="500" w:lineRule="exact"/>
        <w:rPr>
          <w:rFonts w:ascii="宋体" w:hAnsi="宋体"/>
          <w:color w:val="auto"/>
          <w:sz w:val="28"/>
          <w:szCs w:val="28"/>
          <w:highlight w:val="non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500" w:lineRule="exact"/>
        <w:rPr>
          <w:rFonts w:ascii="宋体" w:hAnsi="宋体"/>
          <w:color w:val="auto"/>
          <w:sz w:val="28"/>
          <w:szCs w:val="28"/>
          <w:highlight w:val="none"/>
        </w:rPr>
      </w:pPr>
      <w:r>
        <w:rPr>
          <w:rFonts w:hint="eastAsia" w:ascii="宋体" w:hAnsi="宋体"/>
          <w:color w:val="auto"/>
          <w:sz w:val="28"/>
          <w:szCs w:val="28"/>
          <w:highlight w:val="none"/>
        </w:rPr>
        <w:t>签署时间：2023年  月  日</w:t>
      </w:r>
    </w:p>
    <w:p>
      <w:pPr>
        <w:spacing w:line="500" w:lineRule="exact"/>
        <w:rPr>
          <w:rFonts w:ascii="幼圆" w:hAnsi="宋体" w:eastAsia="幼圆"/>
          <w:b/>
          <w:color w:val="auto"/>
          <w:sz w:val="28"/>
          <w:szCs w:val="28"/>
          <w:highlight w:val="none"/>
        </w:rPr>
        <w:sectPr>
          <w:headerReference r:id="rId3" w:type="default"/>
          <w:footerReference r:id="rId4" w:type="default"/>
          <w:pgSz w:w="11906" w:h="16838"/>
          <w:pgMar w:top="1440" w:right="1274" w:bottom="1440" w:left="1800" w:header="851" w:footer="992" w:gutter="0"/>
          <w:cols w:space="720" w:num="1"/>
          <w:docGrid w:type="lines" w:linePitch="312" w:charSpace="0"/>
        </w:sectPr>
      </w:pPr>
    </w:p>
    <w:tbl>
      <w:tblPr>
        <w:tblStyle w:val="8"/>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1591"/>
        <w:gridCol w:w="1268"/>
        <w:gridCol w:w="663"/>
        <w:gridCol w:w="2306"/>
        <w:gridCol w:w="885"/>
        <w:gridCol w:w="957"/>
        <w:gridCol w:w="970"/>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96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幼圆" w:hAnsi="幼圆" w:eastAsia="幼圆" w:cs="幼圆"/>
                <w:b/>
                <w:bCs/>
                <w:i w:val="0"/>
                <w:iCs w:val="0"/>
                <w:color w:val="000000"/>
                <w:sz w:val="28"/>
                <w:szCs w:val="28"/>
                <w:u w:val="none"/>
              </w:rPr>
            </w:pPr>
            <w:r>
              <w:rPr>
                <w:rFonts w:hint="default" w:ascii="幼圆" w:hAnsi="幼圆" w:eastAsia="幼圆" w:cs="幼圆"/>
                <w:b/>
                <w:bCs/>
                <w:i w:val="0"/>
                <w:iCs w:val="0"/>
                <w:color w:val="000000"/>
                <w:kern w:val="0"/>
                <w:sz w:val="28"/>
                <w:szCs w:val="28"/>
                <w:u w:val="none"/>
                <w:lang w:val="en-US" w:eastAsia="zh-CN" w:bidi="ar"/>
              </w:rPr>
              <w:t>附件2：招租池塘情况一览表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招租池塘标段号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池塘位置</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租赁面积（亩）</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养殖类型</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租赁到期时间（招租年限）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招租底价（每亩每年人民币元）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竞租保证金及预付租金（人民币万元）</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竞租人的具体要求（公司、非法人组织、自然人）</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淮八东12-14#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淡水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淮八东23-24#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淡水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7号泵站东边</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淡水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淮八西线边角塘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淡水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新建小斜尖</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淡水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新建五组2#池塘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淡水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2024.1.1-2024.12.31（1年）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8-1水库前边角塘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淡水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新建13组边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海水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2024.1.1-2026.12.31（3年）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原头罾盐场水库（滨响大道南侧）</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淡水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八圩西线（边角池塘）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海水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2511.36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color w:val="auto"/>
          <w:highlight w:val="none"/>
        </w:rPr>
      </w:pPr>
    </w:p>
    <w:p>
      <w:pPr>
        <w:spacing w:line="580" w:lineRule="exact"/>
        <w:rPr>
          <w:rFonts w:hint="eastAsia" w:ascii="幼圆" w:hAnsi="宋体" w:eastAsia="幼圆"/>
          <w:b/>
          <w:color w:val="auto"/>
          <w:sz w:val="28"/>
          <w:szCs w:val="28"/>
          <w:highlight w:val="none"/>
        </w:rPr>
      </w:pPr>
    </w:p>
    <w:p>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附件3：竞租池塘登记表 </w:t>
      </w:r>
    </w:p>
    <w:p>
      <w:pPr>
        <w:spacing w:line="240" w:lineRule="exact"/>
        <w:rPr>
          <w:rFonts w:ascii="华文中宋" w:hAnsi="华文中宋" w:eastAsia="华文中宋"/>
          <w:b/>
          <w:color w:val="auto"/>
          <w:sz w:val="36"/>
          <w:szCs w:val="36"/>
          <w:highlight w:val="none"/>
        </w:rPr>
      </w:pP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竞租池塘登记表 </w:t>
      </w:r>
      <w:r>
        <w:rPr>
          <w:rFonts w:hint="eastAsia" w:ascii="仿宋" w:hAnsi="仿宋" w:eastAsia="仿宋"/>
          <w:b/>
          <w:color w:val="auto"/>
          <w:sz w:val="28"/>
          <w:szCs w:val="28"/>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竞租人名称/姓名</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竞租人证件及号码</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竞租人的声明</w:t>
            </w:r>
          </w:p>
        </w:tc>
        <w:tc>
          <w:tcPr>
            <w:tcW w:w="6662" w:type="dxa"/>
          </w:tcPr>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3、就我方租赁的到期池塘，本次竞租未中标的，我方保证在原合同约定时间内清塘并向贵方交还上述池塘。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意向竞租池塘</w:t>
            </w:r>
          </w:p>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标段号</w:t>
            </w:r>
          </w:p>
        </w:tc>
        <w:tc>
          <w:tcPr>
            <w:tcW w:w="6662" w:type="dxa"/>
            <w:vAlign w:val="center"/>
          </w:tcPr>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招租人已公布《招租池塘情况一览表》中载明的招租池塘标段号为第</w:t>
            </w:r>
            <w:r>
              <w:rPr>
                <w:rFonts w:hint="eastAsia" w:ascii="仿宋" w:hAnsi="仿宋" w:eastAsia="仿宋" w:cs="Times New Roman"/>
                <w:color w:val="auto"/>
                <w:kern w:val="0"/>
                <w:sz w:val="28"/>
                <w:szCs w:val="28"/>
                <w:highlight w:val="none"/>
                <w:shd w:val="pct10" w:color="auto" w:fill="FFFFFF"/>
              </w:rPr>
              <w:t xml:space="preserve">       </w:t>
            </w:r>
            <w:r>
              <w:rPr>
                <w:rFonts w:hint="eastAsia" w:ascii="仿宋" w:hAnsi="仿宋" w:eastAsia="仿宋" w:cs="Times New Roman"/>
                <w:color w:val="auto"/>
                <w:kern w:val="0"/>
                <w:sz w:val="24"/>
                <w:szCs w:val="24"/>
                <w:highlight w:val="none"/>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已缴竞租保证金及预付租金</w:t>
            </w:r>
          </w:p>
        </w:tc>
        <w:tc>
          <w:tcPr>
            <w:tcW w:w="6662" w:type="dxa"/>
            <w:vAlign w:val="center"/>
          </w:tcPr>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竞租保证金人民币小写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 xml:space="preserve">元；                         </w:t>
            </w:r>
          </w:p>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预付租金人民币小写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竞租人送达地址</w:t>
            </w:r>
          </w:p>
        </w:tc>
        <w:tc>
          <w:tcPr>
            <w:tcW w:w="6662" w:type="dxa"/>
            <w:vAlign w:val="center"/>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联系人及电话号码</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竞租人确认</w:t>
            </w:r>
          </w:p>
        </w:tc>
        <w:tc>
          <w:tcPr>
            <w:tcW w:w="6662" w:type="dxa"/>
          </w:tcPr>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（竞租人盖章、签名手印）</w:t>
            </w:r>
          </w:p>
          <w:p>
            <w:pPr>
              <w:spacing w:line="360" w:lineRule="auto"/>
              <w:rPr>
                <w:rFonts w:ascii="仿宋" w:hAnsi="仿宋" w:eastAsia="仿宋" w:cs="Times New Roman"/>
                <w:color w:val="auto"/>
                <w:kern w:val="0"/>
                <w:sz w:val="24"/>
                <w:szCs w:val="24"/>
                <w:highlight w:val="none"/>
              </w:rPr>
            </w:pPr>
          </w:p>
          <w:p>
            <w:pPr>
              <w:spacing w:line="360" w:lineRule="auto"/>
              <w:rPr>
                <w:rFonts w:ascii="仿宋" w:hAnsi="仿宋" w:eastAsia="仿宋" w:cs="Times New Roman"/>
                <w:color w:val="auto"/>
                <w:kern w:val="0"/>
                <w:sz w:val="24"/>
                <w:szCs w:val="24"/>
                <w:highlight w:val="none"/>
              </w:rPr>
            </w:pPr>
          </w:p>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xml:space="preserve"> </w:t>
            </w:r>
          </w:p>
          <w:p>
            <w:pPr>
              <w:spacing w:line="360" w:lineRule="auto"/>
              <w:jc w:val="right"/>
              <w:rPr>
                <w:rFonts w:ascii="仿宋" w:hAnsi="仿宋" w:eastAsia="仿宋" w:cs="Times New Roman"/>
                <w:b/>
                <w:color w:val="auto"/>
                <w:kern w:val="0"/>
                <w:sz w:val="28"/>
                <w:szCs w:val="28"/>
                <w:highlight w:val="none"/>
              </w:rPr>
            </w:pPr>
            <w:r>
              <w:rPr>
                <w:rFonts w:hint="eastAsia" w:ascii="仿宋" w:hAnsi="仿宋" w:eastAsia="仿宋" w:cs="Times New Roman"/>
                <w:color w:val="auto"/>
                <w:kern w:val="0"/>
                <w:sz w:val="24"/>
                <w:szCs w:val="24"/>
                <w:highlight w:val="none"/>
              </w:rPr>
              <w:t>2023年   月   日</w:t>
            </w:r>
          </w:p>
        </w:tc>
      </w:tr>
    </w:tbl>
    <w:p>
      <w:pPr>
        <w:rPr>
          <w:rFonts w:ascii="仿宋" w:hAnsi="仿宋" w:eastAsia="仿宋"/>
          <w:b/>
          <w:color w:val="auto"/>
          <w:sz w:val="28"/>
          <w:szCs w:val="28"/>
          <w:highlight w:val="none"/>
          <w:u w:val="single"/>
        </w:rPr>
      </w:pPr>
    </w:p>
    <w:p>
      <w:pPr>
        <w:rPr>
          <w:rFonts w:ascii="仿宋" w:hAnsi="仿宋" w:eastAsia="仿宋"/>
          <w:b/>
          <w:color w:val="auto"/>
          <w:sz w:val="28"/>
          <w:szCs w:val="28"/>
          <w:highlight w:val="none"/>
          <w:u w:val="single"/>
        </w:rPr>
      </w:pPr>
    </w:p>
    <w:p>
      <w:pPr>
        <w:rPr>
          <w:rFonts w:ascii="仿宋" w:hAnsi="仿宋" w:eastAsia="仿宋"/>
          <w:b/>
          <w:color w:val="auto"/>
          <w:sz w:val="28"/>
          <w:szCs w:val="28"/>
          <w:highlight w:val="none"/>
          <w:u w:val="singl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附件4：声明书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声明书</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声明：就此前的本人与盐城市灌东盐场发展有限公司、盐城市新滩盐场实业发展有限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本人承诺，本声明不得撤销、不得变更、不得违背，声明内容在任何情况下均永久有效。</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特此声明。</w:t>
      </w:r>
    </w:p>
    <w:p>
      <w:pPr>
        <w:spacing w:line="560" w:lineRule="exact"/>
        <w:ind w:firstLine="4393" w:firstLineChars="1569"/>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声明人（盖章、签名手印）：</w:t>
      </w:r>
    </w:p>
    <w:p>
      <w:pPr>
        <w:spacing w:line="560" w:lineRule="exact"/>
        <w:ind w:firstLine="4393" w:firstLineChars="1569"/>
        <w:rPr>
          <w:rFonts w:ascii="仿宋" w:hAnsi="仿宋" w:eastAsia="仿宋"/>
          <w:color w:val="auto"/>
          <w:sz w:val="28"/>
          <w:szCs w:val="28"/>
          <w:highlight w:val="none"/>
        </w:rPr>
      </w:pPr>
    </w:p>
    <w:p>
      <w:pPr>
        <w:spacing w:line="560" w:lineRule="exact"/>
        <w:ind w:firstLine="4670" w:firstLineChars="1668"/>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60" w:lineRule="exact"/>
        <w:ind w:firstLine="4670" w:firstLineChars="1668"/>
        <w:rPr>
          <w:rFonts w:hint="eastAsia" w:ascii="仿宋" w:hAnsi="仿宋" w:eastAsia="仿宋"/>
          <w:color w:val="auto"/>
          <w:sz w:val="28"/>
          <w:szCs w:val="28"/>
          <w:highlight w:val="none"/>
        </w:rPr>
      </w:pPr>
    </w:p>
    <w:p>
      <w:pPr>
        <w:spacing w:line="560" w:lineRule="exact"/>
        <w:ind w:firstLine="4670" w:firstLineChars="1668"/>
        <w:rPr>
          <w:rFonts w:hint="eastAsia" w:ascii="仿宋" w:hAnsi="仿宋" w:eastAsia="仿宋"/>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cs="宋体"/>
          <w:b/>
          <w:color w:val="auto"/>
          <w:sz w:val="28"/>
          <w:szCs w:val="28"/>
          <w:highlight w:val="none"/>
        </w:rPr>
      </w:pPr>
      <w:r>
        <w:rPr>
          <w:rFonts w:ascii="幼圆" w:hAnsi="宋体" w:eastAsia="幼圆"/>
          <w:b/>
          <w:color w:val="auto"/>
          <w:sz w:val="28"/>
          <w:szCs w:val="28"/>
          <w:highlight w:val="none"/>
        </w:rPr>
        <w:t>附件</w:t>
      </w:r>
      <w:r>
        <w:rPr>
          <w:rFonts w:hint="eastAsia" w:ascii="幼圆" w:hAnsi="宋体" w:eastAsia="幼圆"/>
          <w:b/>
          <w:color w:val="auto"/>
          <w:sz w:val="28"/>
          <w:szCs w:val="28"/>
          <w:highlight w:val="none"/>
        </w:rPr>
        <w:t>5：承诺</w:t>
      </w:r>
      <w:r>
        <w:rPr>
          <w:rFonts w:hint="eastAsia" w:ascii="宋体" w:hAnsi="宋体" w:cs="宋体"/>
          <w:b/>
          <w:color w:val="auto"/>
          <w:sz w:val="28"/>
          <w:szCs w:val="28"/>
          <w:highlight w:val="none"/>
        </w:rPr>
        <w:t>书</w:t>
      </w:r>
    </w:p>
    <w:p>
      <w:pPr>
        <w:jc w:val="center"/>
        <w:rPr>
          <w:rFonts w:ascii="宋体" w:cs="宋体"/>
          <w:b/>
          <w:color w:val="auto"/>
          <w:sz w:val="28"/>
          <w:szCs w:val="28"/>
          <w:highlight w:val="none"/>
        </w:rPr>
      </w:pPr>
      <w:r>
        <w:rPr>
          <w:rFonts w:hint="eastAsia" w:ascii="宋体" w:hAnsi="宋体" w:cs="宋体"/>
          <w:b/>
          <w:color w:val="auto"/>
          <w:sz w:val="28"/>
          <w:szCs w:val="28"/>
          <w:highlight w:val="none"/>
        </w:rPr>
        <w:t>承诺书</w:t>
      </w:r>
    </w:p>
    <w:p>
      <w:pPr>
        <w:spacing w:line="520" w:lineRule="exact"/>
        <w:ind w:firstLine="565" w:firstLineChars="202"/>
        <w:rPr>
          <w:rFonts w:hint="eastAsia" w:ascii="仿宋" w:hAnsi="仿宋" w:eastAsia="仿宋"/>
          <w:color w:val="auto"/>
          <w:sz w:val="28"/>
          <w:szCs w:val="28"/>
          <w:highlight w:val="none"/>
        </w:rPr>
      </w:pP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郑重承诺：就池塘租期届满向招租人无条件、无补偿、无赔偿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时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万元的惩罚性违约金。</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特此承诺。</w:t>
      </w:r>
    </w:p>
    <w:p>
      <w:pPr>
        <w:ind w:firstLine="560" w:firstLineChars="200"/>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承诺人（盖章、签名手印）：</w:t>
      </w:r>
    </w:p>
    <w:p>
      <w:pPr>
        <w:spacing w:line="560" w:lineRule="exact"/>
        <w:ind w:firstLine="4393" w:firstLineChars="1569"/>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rPr>
          <w:rFonts w:hint="eastAsia" w:ascii="幼圆" w:hAnsi="宋体" w:eastAsia="幼圆"/>
          <w:b/>
          <w:color w:val="auto"/>
          <w:sz w:val="28"/>
          <w:szCs w:val="28"/>
          <w:highlight w:val="none"/>
        </w:rPr>
      </w:pPr>
    </w:p>
    <w:p>
      <w:pPr>
        <w:rPr>
          <w:rFonts w:hint="eastAsia" w:ascii="幼圆" w:hAnsi="宋体" w:eastAsia="幼圆"/>
          <w:b/>
          <w:color w:val="auto"/>
          <w:sz w:val="28"/>
          <w:szCs w:val="28"/>
          <w:highlight w:val="none"/>
        </w:rPr>
      </w:pPr>
    </w:p>
    <w:p>
      <w:pPr>
        <w:rPr>
          <w:rFonts w:hint="eastAsia" w:ascii="幼圆" w:hAnsi="宋体" w:eastAsia="幼圆"/>
          <w:b/>
          <w:color w:val="auto"/>
          <w:sz w:val="28"/>
          <w:szCs w:val="28"/>
          <w:highlight w:val="non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附件6：池塘租赁合同</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池塘租赁合同</w:t>
      </w:r>
    </w:p>
    <w:p>
      <w:pPr>
        <w:spacing w:line="560" w:lineRule="exact"/>
        <w:ind w:firstLine="565" w:firstLineChars="202"/>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甲方(出租人): </w:t>
      </w:r>
      <w:r>
        <w:rPr>
          <w:rFonts w:hint="eastAsia" w:ascii="仿宋" w:hAnsi="仿宋" w:eastAsia="仿宋"/>
          <w:color w:val="auto"/>
          <w:sz w:val="28"/>
          <w:szCs w:val="28"/>
          <w:highlight w:val="none"/>
          <w:u w:val="single"/>
        </w:rPr>
        <w:t>盐城市灌东盐场发展有限公司</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spacing w:line="560" w:lineRule="exact"/>
        <w:ind w:firstLine="565" w:firstLineChars="202"/>
        <w:rPr>
          <w:rFonts w:ascii="仿宋" w:hAnsi="仿宋" w:eastAsia="仿宋"/>
          <w:color w:val="auto"/>
          <w:sz w:val="28"/>
          <w:szCs w:val="28"/>
          <w:highlight w:val="none"/>
          <w:u w:val="singl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为充分利用土地资源，发展壮大甲方养殖业，本着互惠互利、共同发展原则，根据我国《民法典》等法律规定和经2024年度公开竞租池塘的评审结果，经甲乙双方协商，就乙方中标的养殖池塘签订本租赁合同。</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一、租赁物的概况</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租赁物1:位于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租赁物2:位于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租赁物3:位于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租赁物4:位于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上述租赁面积合计</w:t>
      </w:r>
      <w:r>
        <w:rPr>
          <w:rFonts w:hint="eastAsia" w:ascii="仿宋" w:hAnsi="仿宋" w:eastAsia="仿宋"/>
          <w:color w:val="auto"/>
          <w:sz w:val="28"/>
          <w:szCs w:val="28"/>
          <w:highlight w:val="none"/>
          <w:u w:val="single"/>
          <w:shd w:val="pct10" w:color="auto" w:fill="FFFFFF"/>
        </w:rPr>
        <w:t xml:space="preserve">         </w:t>
      </w:r>
      <w:r>
        <w:rPr>
          <w:rFonts w:hint="eastAsia" w:ascii="仿宋" w:hAnsi="仿宋" w:eastAsia="仿宋"/>
          <w:color w:val="auto"/>
          <w:sz w:val="28"/>
          <w:szCs w:val="28"/>
          <w:highlight w:val="none"/>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在本合同签署后，乙方应及时自行进驻池塘并开展养殖活动，双方签署上述池塘及其设施的交接手续，双方对此均无异议。</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二、租赁用途</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租赁池塘只能从事</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养殖，乙方不得从事大棚虾（暖棚养殖）、牛蛙、舌鳎等高密度养殖及其他行业生产。对于本次招租的海淡水养殖池塘，如租期为不超过一年的，承租人不得放养生长周期超过一年的鱼虾、贝类等水产品。</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三、租赁期限</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本合同租赁期限为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个月，即租期自20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日起至20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日止（如果原承租人尚未交还池塘的，待甲方收回池塘后再行交付给乙方使用，</w:t>
      </w:r>
      <w:r>
        <w:rPr>
          <w:rFonts w:hint="eastAsia" w:ascii="仿宋" w:hAnsi="仿宋" w:eastAsia="仿宋"/>
          <w:color w:val="auto"/>
          <w:sz w:val="28"/>
          <w:szCs w:val="28"/>
          <w:highlight w:val="none"/>
          <w:lang w:val="en-US" w:eastAsia="zh-CN"/>
        </w:rPr>
        <w:t>甲方按乙方实际收塘时间计算并收取租金</w:t>
      </w:r>
      <w:r>
        <w:rPr>
          <w:rFonts w:hint="eastAsia" w:ascii="仿宋" w:hAnsi="仿宋" w:eastAsia="仿宋"/>
          <w:color w:val="auto"/>
          <w:sz w:val="28"/>
          <w:szCs w:val="28"/>
          <w:highlight w:val="none"/>
        </w:rPr>
        <w:t>）。</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四、租赁费用及履约保证金</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1.租金标准为人民币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元/亩/年(固定单价、含税价)；</w:t>
      </w:r>
    </w:p>
    <w:p>
      <w:pPr>
        <w:spacing w:line="560" w:lineRule="exact"/>
        <w:ind w:firstLine="565" w:firstLineChars="202"/>
        <w:jc w:val="left"/>
        <w:rPr>
          <w:rFonts w:ascii="仿宋" w:hAnsi="仿宋" w:eastAsia="仿宋"/>
          <w:b/>
          <w:color w:val="auto"/>
          <w:sz w:val="24"/>
          <w:szCs w:val="24"/>
          <w:highlight w:val="none"/>
        </w:rPr>
      </w:pPr>
      <w:r>
        <w:rPr>
          <w:rFonts w:hint="eastAsia" w:ascii="仿宋" w:hAnsi="仿宋" w:eastAsia="仿宋"/>
          <w:color w:val="auto"/>
          <w:sz w:val="28"/>
          <w:szCs w:val="28"/>
          <w:highlight w:val="none"/>
        </w:rPr>
        <w:t xml:space="preserve">2.租金缴纳：本租赁合同采用“先付后用，一年一付”原则，租金及其支付时间如下表：                       </w:t>
      </w:r>
      <w:r>
        <w:rPr>
          <w:rFonts w:hint="eastAsia" w:ascii="仿宋" w:hAnsi="仿宋" w:eastAsia="仿宋"/>
          <w:b/>
          <w:color w:val="auto"/>
          <w:sz w:val="24"/>
          <w:szCs w:val="24"/>
          <w:highlight w:val="none"/>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序</w:t>
            </w:r>
          </w:p>
        </w:tc>
        <w:tc>
          <w:tcPr>
            <w:tcW w:w="4172"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缴纳租金的租期时段</w:t>
            </w:r>
          </w:p>
        </w:tc>
        <w:tc>
          <w:tcPr>
            <w:tcW w:w="1700"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当期租金金额</w:t>
            </w:r>
          </w:p>
        </w:tc>
        <w:tc>
          <w:tcPr>
            <w:tcW w:w="2472"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4</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5</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bl>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元人民币计算（不低于年租金标准的1.5倍）。</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3.本合同采用固定单价。如租赁实际面积发生误差的，以本租赁合同记载的面积为准进行租金结算，且甲方对面积误差不承担违约责任。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本合同的履约保证金为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5.其他费用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养殖外线扬水电费由甲方承担。养殖二次扬水、三次扬水的电费、生活用水用电等项目按表计量由乙方承担，并由乙方与供水、供电等单位自行联系和结算，与甲方无涉。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五、甲方的权利和义务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2.协助乙方进行治安管理，营造良好养殖环境。</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4.甲方有权按照现代渔业养殖要求对乙方使用的养殖投入品进行监督检查，禁止乙方使用不符合食品质量安全要求的投入品。一经发现，甲方有权利没收乙方履约保证金。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6.在租期届满或期内合同解除后，乙方未能交还租赁物且乙方已将租赁物分租、转租给次承租人的，甲方有权就该租赁物直接与次承租人签订租赁协议，并直接收取次承租人的租金。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六、乙方的权利和义务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2.遵守甲方关于海淡水养殖的所有制度(乙方确认已经知悉上述的甲方管理制度，详见本合同附件)。按照优质、生态、安全、绿色、无公害养殖要求进行养殖，服从甲方依据法律法规和本合同约定进行的养殖管理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3.具有合同范围内的自主经营权，须诚实守信，合法经营。</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4.按合同规定按时足额缴纳租赁费、其他费用和所有的相关税金。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5.维护养殖区内社会治安，遵守安全、环保等管理制度。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6.对本租赁池塘区域内的公共设施有维护责任和义务。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9.严禁在池塘内、外及周边土地上随意乱丢废弃药瓶、包装袋等生产生活垃圾。所有垃圾要集中堆放，由养殖管理区按时处理，对于池塘死鱼必须按照规定要求进行处理，不得随意丢弃或违规处理。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11、在租期届满或期内合同解除后，乙方保证无条件将租赁池塘交给甲方。</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七、其它约定</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1.乙方必须协助甲方处理本合同项下租赁物的相关遗留问题，乙方不协助的，视为乙方违约，由此发生的相关损失，由乙方向甲方赔偿。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8.在养殖生产期间，乙方应熟悉掌握</w:t>
      </w:r>
      <w:r>
        <w:rPr>
          <w:rFonts w:hint="eastAsia" w:ascii="仿宋" w:hAnsi="仿宋" w:eastAsia="仿宋"/>
          <w:color w:val="auto"/>
          <w:sz w:val="28"/>
          <w:szCs w:val="28"/>
          <w:highlight w:val="none"/>
          <w:lang w:val="en-US" w:eastAsia="zh-CN"/>
        </w:rPr>
        <w:t>海、</w:t>
      </w:r>
      <w:r>
        <w:rPr>
          <w:rFonts w:hint="eastAsia" w:ascii="仿宋" w:hAnsi="仿宋" w:eastAsia="仿宋"/>
          <w:color w:val="auto"/>
          <w:sz w:val="28"/>
          <w:szCs w:val="28"/>
          <w:highlight w:val="none"/>
        </w:rPr>
        <w:t>淡水供应季节</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特点，自行安排进、排水时间，保证养殖用水，并认真加强对水质的监控，配备必要的水质检验器材，如因乙方自身对水质监察不力，误进了污染水、有害水等导致养殖品种发生病害或死亡的，甲方概不负责。</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12.在不影响养殖生产的情况下，乙方有义务配合甲方在其承包区域实施绿化工程，乙方不得阻扰施工，不得索取任何补偿或赔偿。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13.租赁期届满或因乙方违约而甲方解除合同后，乙方按合同约定要求将租赁池塘及基础设施等所有固定资产无矛盾、无条件、无任何补偿地移交甲方，否则视乙方违约。乙方下线养殖户投入由乙方自行处理或承担补偿费用，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全额承担赔偿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八、合同变更和解除</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1.本合同租期届满时本合同自然终止，双方结清费用。租期内如自然灾害、政府行为、甲方规划建设等原因致使不能实现合同目的时，本合同自动解除，互不负违约责任，由双方按实结算租金。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九、安全生产</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租赁区域的安全责任具体按甲乙双方签订的安全管理责任书执行。租赁期间，乙方及其所聘用的人员发生的一切人身安全及设备事故，均由乙方负责，与甲方无涉。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十、免责条款</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如遇不可抗力的自然灾害(如台风、海啸、地震等)和政府行为等造成的损失，双方互相免责，本租赁合同终止履行。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1.乙方违约，按上述违约条款处理；甲方违反合同条款的，全额赔偿乙方所蒙受的相应直接经济损失。</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2.本合同租期届满或租期内解除合同的，乙方在租期届满或合同解除之日起一个月内未能交还租赁物的，在承担本合同约定的占用费的同时，还须承担人民币100万元的惩罚性违约金。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4.在履行本合同过程中，如乙方出现违约行为的，则自动丧失优先承租权。</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十二、附则</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1.如一方提出要求对本租赁合同进行公证的，可在公证部门办理公证手续，但公证费用由提出方承担，对方予以配合。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3.本合同未尽事宜，由甲乙双方协商解决，签订补充合同。补充合同与本合同具有同等效力。如协商不成，任何一方均可向合同履行地人民法院提起诉讼。</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4.合同履行过程中双方的电话仅作为一般工作联系方式，重要事项应当以书面函件进行。双方的函件送达地址如下：</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（1）甲方送达地址：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40" w:lineRule="exact"/>
        <w:ind w:firstLine="1400" w:firstLineChars="500"/>
        <w:rPr>
          <w:rFonts w:ascii="仿宋" w:hAnsi="仿宋" w:eastAsia="仿宋"/>
          <w:color w:val="auto"/>
          <w:sz w:val="28"/>
          <w:szCs w:val="28"/>
          <w:highlight w:val="non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（2）乙方送达地址：</w:t>
      </w:r>
      <w:r>
        <w:rPr>
          <w:rFonts w:hint="eastAsia" w:ascii="仿宋" w:hAnsi="仿宋" w:eastAsia="仿宋"/>
          <w:color w:val="auto"/>
          <w:sz w:val="28"/>
          <w:szCs w:val="28"/>
          <w:highlight w:val="none"/>
          <w:u w:val="single"/>
        </w:rPr>
        <w:t xml:space="preserve">                                              </w:t>
      </w:r>
    </w:p>
    <w:p>
      <w:pPr>
        <w:spacing w:line="540" w:lineRule="exact"/>
        <w:ind w:firstLine="1260" w:firstLineChars="45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本合同的附件包括《养殖生产安全工作责任书》、《盐场海淡水养殖管理规定》和《养殖池塘租赁交接单》。乙方在履行合同过程中如有违背《养殖生产安全工作责任书》和《盐场海淡水养殖管理规定》的行为，也视为乙方违约，相关违约责任按照本合同的约定执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6.本轮《2024年度养殖池塘公开招租方案书》及其附件的内容作为本合同的组成部分；如本合同内容与招租文件（含附件）相冲突的，以本合同为准；如本合同没有约定的，则按照招租方案书及其附件的规定执行。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7.本合同一式三份，甲方执二份、乙方执一份，自双方签署之日起生效。本合同签署于20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40" w:lineRule="exact"/>
        <w:ind w:firstLine="565" w:firstLineChars="202"/>
        <w:rPr>
          <w:rFonts w:ascii="仿宋" w:hAnsi="仿宋" w:eastAsia="仿宋"/>
          <w:color w:val="auto"/>
          <w:sz w:val="28"/>
          <w:szCs w:val="28"/>
          <w:highlight w:val="none"/>
        </w:rPr>
      </w:pP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甲方(盖章): 盐城市灌东盐场发展有限公司</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签约代表人：</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签约代表人： </w:t>
      </w:r>
    </w:p>
    <w:p>
      <w:pPr>
        <w:rPr>
          <w:color w:val="auto"/>
          <w:highlight w:val="non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附件7: 养殖生产安全工作责任书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养殖生产安全工作责任书</w:t>
      </w:r>
    </w:p>
    <w:p>
      <w:pPr>
        <w:spacing w:line="240" w:lineRule="exact"/>
        <w:ind w:firstLine="565" w:firstLineChars="202"/>
        <w:rPr>
          <w:rFonts w:ascii="仿宋" w:hAnsi="仿宋" w:eastAsia="仿宋"/>
          <w:color w:val="auto"/>
          <w:sz w:val="28"/>
          <w:szCs w:val="28"/>
          <w:highlight w:val="none"/>
        </w:rPr>
      </w:pPr>
    </w:p>
    <w:p>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一、目标任务</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二、具体职责</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三、其他</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1.本责任状一式肆份，甲方执叁份、乙方执壹份。</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2.本责任状解释权属于甲方。</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3.本责任状签署于20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ind w:firstLine="565" w:firstLineChars="202"/>
        <w:rPr>
          <w:rFonts w:ascii="仿宋" w:hAnsi="仿宋" w:eastAsia="仿宋"/>
          <w:color w:val="auto"/>
          <w:sz w:val="28"/>
          <w:szCs w:val="28"/>
          <w:highlight w:val="none"/>
        </w:rPr>
      </w:pP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甲方(盖章)： </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代表：</w:t>
      </w:r>
    </w:p>
    <w:p>
      <w:pPr>
        <w:ind w:firstLine="565" w:firstLineChars="202"/>
        <w:rPr>
          <w:rFonts w:ascii="仿宋" w:hAnsi="仿宋" w:eastAsia="仿宋"/>
          <w:color w:val="auto"/>
          <w:sz w:val="28"/>
          <w:szCs w:val="28"/>
          <w:highlight w:val="none"/>
        </w:rPr>
      </w:pP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乙方(盖章、签名手印)：</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8" w:firstLineChars="202"/>
        <w:rPr>
          <w:rFonts w:ascii="幼圆" w:hAnsi="宋体" w:eastAsia="幼圆"/>
          <w:b/>
          <w:color w:val="auto"/>
          <w:sz w:val="28"/>
          <w:szCs w:val="28"/>
          <w:highlight w:val="none"/>
        </w:rPr>
      </w:pPr>
      <w:r>
        <w:rPr>
          <w:rFonts w:hint="eastAsia" w:ascii="幼圆" w:hAnsi="宋体" w:eastAsia="幼圆"/>
          <w:b/>
          <w:color w:val="auto"/>
          <w:sz w:val="28"/>
          <w:szCs w:val="28"/>
          <w:highlight w:val="none"/>
        </w:rPr>
        <w:t>附件8: 海淡水养殖管理规定</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海淡水养殖管理规定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为鼓励水产养殖单位和个人发展健康养殖，减少水产养殖病害发生；控制养殖用药，保证养殖水产品质量安全；推广生态养殖，保护养殖环境。根据《中华人民共和国渔业法》等法律、行政法规，制定本条例：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第一章 养殖用水</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第一条 水产养殖用水应当符合农业部《无公害食品海水养殖用水水质》(NY5052-200)或《无公害食品淡水养殖用水水质》(NY5051-2001)等标准，禁止将不符合水质标准的水源用于水产养殖。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第二条 水产养殖单位和个人应当定期监测养殖用水水质。</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养殖用水水源受到污染时，应当立即停止使用；确需使用的，应当经过净化处理达到养殖用水水质标准。</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第二章 养殖生产</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第七条 水产养殖专业技术人员应当逐步按国家有关就业准入要求，经过职业技能培训并获得职业资格证书后，方能上岗。</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第八条 水产养殖单位和个人应当填写《水产养殖生产记录》,记载养殖种类、苗种来源及生长情况、饲料来源及投喂情况、水质变化等内容。《水产养殖生产记录》应当保存至该批水产品全部销售后2年以上。</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第九条 销售的养殖水产品应当符合国家或地方的有关标准。不符合标准的产品应当进行净化处理，净化处理后仍不符合标准的产品禁止销售。    </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第三章 附则</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承租人签字确认：</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二三</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60" w:lineRule="exact"/>
        <w:rPr>
          <w:rFonts w:ascii="仿宋" w:hAnsi="仿宋" w:eastAsia="仿宋"/>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附件9: 租赁资产交接确认单</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租赁资产交接确认单</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一、出租人（甲方）与承租人（乙方）于20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日签署的编号为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《池塘租赁合同》中所载明的租赁物，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四、本交接单作为租赁合同的附件，系租赁合同书的不可分割的部分，具有同等法律效力。</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接收方确认(盖章、签名手印):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宋体" w:hAnsi="宋体"/>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jc w:val="center"/>
        <w:rPr>
          <w:rFonts w:ascii="宋体" w:hAnsi="宋体"/>
          <w:b/>
          <w:color w:val="auto"/>
          <w:sz w:val="28"/>
          <w:szCs w:val="28"/>
          <w:highlight w:val="none"/>
        </w:rPr>
      </w:pPr>
    </w:p>
    <w:p>
      <w:pPr>
        <w:spacing w:line="360" w:lineRule="auto"/>
        <w:jc w:val="left"/>
        <w:rPr>
          <w:rFonts w:hint="eastAsia" w:ascii="幼圆" w:hAnsi="宋体" w:eastAsia="幼圆"/>
          <w:b/>
          <w:color w:val="auto"/>
          <w:sz w:val="28"/>
          <w:szCs w:val="28"/>
          <w:highlight w:val="none"/>
        </w:rPr>
      </w:pPr>
    </w:p>
    <w:p>
      <w:pPr>
        <w:spacing w:line="360" w:lineRule="auto"/>
        <w:jc w:val="left"/>
        <w:rPr>
          <w:rFonts w:hint="eastAsia" w:ascii="幼圆" w:hAnsi="宋体" w:eastAsia="幼圆"/>
          <w:b/>
          <w:color w:val="auto"/>
          <w:sz w:val="28"/>
          <w:szCs w:val="28"/>
          <w:highlight w:val="none"/>
        </w:rPr>
      </w:pPr>
    </w:p>
    <w:p>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附件10: 确认书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确 认 书</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我方与贵司于20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日签署了编号为</w:t>
      </w:r>
      <w:r>
        <w:rPr>
          <w:rFonts w:hint="eastAsia" w:ascii="仿宋" w:hAnsi="仿宋" w:eastAsia="仿宋"/>
          <w:color w:val="auto"/>
          <w:sz w:val="28"/>
          <w:szCs w:val="28"/>
          <w:highlight w:val="none"/>
          <w:u w:val="single"/>
        </w:rPr>
        <w:t xml:space="preserve">                 </w:t>
      </w:r>
    </w:p>
    <w:p>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养殖池塘租赁合同（池塘承包合同），承租/承包了贵方经营管理的位于</w:t>
      </w:r>
    </w:p>
    <w:p>
      <w:pPr>
        <w:spacing w:line="56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的池塘/水库，合计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1、我方将按照贵方公布的202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3、担保人对确认人（原承租人）的上述赔偿责任承担担保责任。</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确认人</w:t>
      </w:r>
      <w:r>
        <w:rPr>
          <w:rFonts w:hint="eastAsia" w:ascii="仿宋" w:hAnsi="仿宋" w:eastAsia="仿宋"/>
          <w:color w:val="auto"/>
          <w:sz w:val="28"/>
          <w:szCs w:val="28"/>
          <w:highlight w:val="none"/>
        </w:rPr>
        <w:t>（盖章、签名手印）: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r>
        <w:rPr>
          <w:rFonts w:hint="eastAsia" w:ascii="幼圆" w:hAnsi="宋体" w:eastAsia="幼圆"/>
          <w:b/>
          <w:color w:val="auto"/>
          <w:sz w:val="28"/>
          <w:szCs w:val="28"/>
          <w:highlight w:val="none"/>
        </w:rPr>
        <w:t>附件11：竞租报价表</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意向池塘</w:t>
            </w:r>
            <w:r>
              <w:rPr>
                <w:rFonts w:hint="eastAsia" w:ascii="仿宋" w:hAnsi="仿宋" w:eastAsia="仿宋" w:cs="Times New Roman"/>
                <w:b/>
                <w:color w:val="auto"/>
                <w:kern w:val="0"/>
                <w:sz w:val="28"/>
                <w:szCs w:val="28"/>
                <w:highlight w:val="none"/>
              </w:rPr>
              <w:t>标段号</w:t>
            </w:r>
          </w:p>
        </w:tc>
        <w:tc>
          <w:tcPr>
            <w:tcW w:w="3118"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竞租报价</w:t>
            </w:r>
          </w:p>
          <w:p>
            <w:pPr>
              <w:spacing w:line="400" w:lineRule="exact"/>
              <w:jc w:val="center"/>
              <w:rPr>
                <w:rFonts w:ascii="仿宋" w:hAnsi="仿宋" w:eastAsia="仿宋" w:cs="Times New Roman"/>
                <w:b/>
                <w:color w:val="auto"/>
                <w:kern w:val="0"/>
                <w:sz w:val="28"/>
                <w:szCs w:val="28"/>
                <w:highlight w:val="none"/>
              </w:rPr>
            </w:pPr>
            <w:r>
              <w:rPr>
                <w:rFonts w:hint="eastAsia" w:ascii="仿宋" w:hAnsi="仿宋" w:eastAsia="仿宋" w:cs="Times New Roman"/>
                <w:b/>
                <w:color w:val="auto"/>
                <w:kern w:val="0"/>
                <w:sz w:val="28"/>
                <w:szCs w:val="28"/>
                <w:highlight w:val="none"/>
              </w:rPr>
              <w:t>（每亩每年人民币元）</w:t>
            </w:r>
          </w:p>
        </w:tc>
        <w:tc>
          <w:tcPr>
            <w:tcW w:w="2410"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是否</w:t>
            </w:r>
            <w:r>
              <w:rPr>
                <w:rFonts w:hint="eastAsia" w:ascii="仿宋" w:hAnsi="仿宋" w:eastAsia="仿宋" w:cs="Times New Roman"/>
                <w:b/>
                <w:color w:val="auto"/>
                <w:kern w:val="0"/>
                <w:sz w:val="28"/>
                <w:szCs w:val="28"/>
                <w:highlight w:val="none"/>
              </w:rPr>
              <w:t>为</w:t>
            </w:r>
            <w:r>
              <w:rPr>
                <w:rFonts w:ascii="仿宋" w:hAnsi="仿宋" w:eastAsia="仿宋" w:cs="Times New Roman"/>
                <w:b/>
                <w:color w:val="auto"/>
                <w:kern w:val="0"/>
                <w:sz w:val="28"/>
                <w:szCs w:val="28"/>
                <w:highlight w:val="none"/>
              </w:rPr>
              <w:t>原承租人</w:t>
            </w:r>
          </w:p>
        </w:tc>
        <w:tc>
          <w:tcPr>
            <w:tcW w:w="1134"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bl>
    <w:p>
      <w:pPr>
        <w:spacing w:line="360" w:lineRule="auto"/>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竞租人： </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委托代理人：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时间：2023年  月  日</w:t>
      </w:r>
    </w:p>
    <w:p>
      <w:pPr>
        <w:spacing w:line="360" w:lineRule="auto"/>
        <w:ind w:firstLine="565" w:firstLineChars="202"/>
        <w:rPr>
          <w:rFonts w:ascii="仿宋" w:hAnsi="仿宋" w:eastAsia="仿宋"/>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附件12：授权委托书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pPr>
        <w:spacing w:line="56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致出租人:盐城市灌东盐场发展有限公司</w:t>
      </w:r>
    </w:p>
    <w:p>
      <w:pPr>
        <w:spacing w:line="240" w:lineRule="exact"/>
        <w:rPr>
          <w:rFonts w:ascii="仿宋" w:hAnsi="仿宋" w:eastAsia="仿宋"/>
          <w:b/>
          <w:color w:val="auto"/>
          <w:sz w:val="28"/>
          <w:szCs w:val="28"/>
          <w:highlight w:val="none"/>
        </w:rPr>
      </w:pPr>
    </w:p>
    <w:p>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兹因我单位参加贵方202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年度养殖池塘的招租，现委托我单位正式职工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同志（身份证号码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代理人有权代表我方签署或签收的文件，包括但不限于：</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（1）《声明书》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（2）《竞租池塘登记表》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（3）《竞租报价表》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（4）《中标确认书》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（5）《池塘租赁合同》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（6）《确认书》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（7）《承诺书》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（8）其他的池塘招租文件资料和招租过程的程序性文件资料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竞租人（委托单位）：</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360" w:lineRule="auto"/>
        <w:rPr>
          <w:rFonts w:hint="eastAsia"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附件13：《池塘租赁合同担保书》</w:t>
      </w:r>
    </w:p>
    <w:p>
      <w:pPr>
        <w:spacing w:line="240" w:lineRule="exact"/>
        <w:ind w:firstLine="565" w:firstLineChars="202"/>
        <w:rPr>
          <w:rFonts w:ascii="仿宋" w:hAnsi="仿宋" w:eastAsia="仿宋"/>
          <w:color w:val="auto"/>
          <w:sz w:val="28"/>
          <w:szCs w:val="28"/>
          <w:highlight w:val="none"/>
        </w:rPr>
      </w:pPr>
    </w:p>
    <w:p>
      <w:pPr>
        <w:spacing w:line="480" w:lineRule="exact"/>
        <w:jc w:val="center"/>
        <w:rPr>
          <w:rFonts w:ascii="宋体" w:hAnsi="宋体"/>
          <w:b/>
          <w:color w:val="auto"/>
          <w:sz w:val="32"/>
          <w:szCs w:val="32"/>
          <w:highlight w:val="none"/>
        </w:rPr>
      </w:pPr>
      <w:r>
        <w:rPr>
          <w:rFonts w:hint="eastAsia" w:ascii="宋体" w:hAnsi="宋体"/>
          <w:b/>
          <w:color w:val="auto"/>
          <w:sz w:val="32"/>
          <w:szCs w:val="32"/>
          <w:highlight w:val="none"/>
        </w:rPr>
        <w:t>池塘租赁合同担保书</w:t>
      </w:r>
    </w:p>
    <w:p>
      <w:pPr>
        <w:spacing w:line="48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致出租人:盐城市灌东盐场发展有限公司</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）是 □上市公司 □国有企业 □ 公务员。因竞租人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拟参加竞租贵方2024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担保人的送达地址：</w:t>
      </w:r>
      <w:r>
        <w:rPr>
          <w:rFonts w:hint="eastAsia" w:ascii="仿宋" w:hAnsi="仿宋" w:eastAsia="仿宋"/>
          <w:color w:val="auto"/>
          <w:sz w:val="28"/>
          <w:szCs w:val="28"/>
          <w:highlight w:val="none"/>
          <w:u w:val="single"/>
        </w:rPr>
        <w:t xml:space="preserve">                                                 </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（担保人身份证明文件的复印件附后）</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480" w:lineRule="exact"/>
        <w:ind w:firstLine="3827" w:firstLineChars="1367"/>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担保人（盖章/签字）：</w:t>
      </w:r>
    </w:p>
    <w:p>
      <w:pPr>
        <w:spacing w:line="480" w:lineRule="exact"/>
        <w:ind w:firstLine="3827" w:firstLineChars="1367"/>
        <w:rPr>
          <w:rFonts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14</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w:t>
      </w:r>
      <w:r>
        <w:rPr>
          <w:rFonts w:hint="eastAsia" w:ascii="幼圆" w:hAnsi="仿宋" w:eastAsia="幼圆" w:cs="Times New Roman"/>
          <w:b/>
          <w:color w:val="auto"/>
          <w:sz w:val="28"/>
          <w:szCs w:val="28"/>
          <w:highlight w:val="none"/>
        </w:rPr>
        <w:t>水产养殖安全环保承诺书</w:t>
      </w:r>
      <w:r>
        <w:rPr>
          <w:rFonts w:hint="eastAsia" w:ascii="幼圆" w:hAnsi="仿宋" w:eastAsia="幼圆" w:cs="Times New Roman"/>
          <w:b/>
          <w:color w:val="auto"/>
          <w:sz w:val="28"/>
          <w:szCs w:val="28"/>
          <w:highlight w:val="none"/>
          <w:lang w:eastAsia="zh-CN"/>
        </w:rPr>
        <w:t>》</w:t>
      </w:r>
    </w:p>
    <w:p>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水产养殖安全环保承诺书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盐场市灌东盐场发展有限公司：</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全面贯彻落实《中华人民共和国安全生产法》、《江苏省安全生产条例》和《中华人民共和国环境保护法》等法律法规，防止和减少生产安全、生态环保事故发生，保护本人和灌东盐场安全稳定，本人特作如下承诺：</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1、严格执行《中华人民共和国安全生产法》《江苏省安全生产条例》《中华人民共和国环境保护法》等法律法规；</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2、在养殖生产中，配电设备的安装、使用符合国家的现行标准和规范；</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3、严格执行水上、机械作业操作规程，配置相应的水上救生设备和机械防护设备；自行配备临时发电设备，以应对临时停电等突发情况，否则由此蒙受的经济损失由本人自行承担。</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4、严格执行国家、省、市、县关于液化气使用安全的相关规定，不使用不合格“灶、管、阀、瓶”；</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6、严格遵守交通法规，不使用无牌无照车辆，不酒后驾车。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7、严格遵守消防安全法规，生活生产用房使用合格的防火建筑材料，对汽油、柴油按规定使用和存放。</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8主动接受安全环保部门工作人员的监督检查，对检查出来的隐患及时整改消除。如发生安全责任事故的，由本人承担法律责任和经济损失、费用等。</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9、违反以上承诺，愿意接受法律及公司相关规定的任何处罚。</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10、本承诺书一式两份，盐城市灌东盐场发展有限公司和承诺人各执一份，自签署之日起生效。</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322" w:firstLineChars="19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pPr>
        <w:spacing w:line="480" w:lineRule="exact"/>
        <w:ind w:firstLine="6162" w:firstLineChars="22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年   月   日</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65" w:firstLineChars="202"/>
        <w:rPr>
          <w:rFonts w:hint="eastAsia" w:ascii="仿宋" w:hAnsi="仿宋" w:eastAsia="仿宋" w:cs="Times New Roman"/>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15</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《水产品质量安全承诺书》</w:t>
      </w:r>
    </w:p>
    <w:p>
      <w:pPr>
        <w:spacing w:line="560" w:lineRule="exact"/>
        <w:jc w:val="center"/>
        <w:rPr>
          <w:rFonts w:ascii="Times New Roman" w:hAnsi="Times New Roman" w:eastAsia="方正小标宋_GBK" w:cs="Times New Roman"/>
          <w:color w:val="auto"/>
          <w:sz w:val="36"/>
          <w:szCs w:val="36"/>
          <w:highlight w:val="none"/>
        </w:rPr>
      </w:pPr>
      <w:r>
        <w:rPr>
          <w:rFonts w:ascii="Times New Roman" w:hAnsi="Times New Roman" w:eastAsia="方正小标宋_GBK" w:cs="Times New Roman"/>
          <w:color w:val="auto"/>
          <w:sz w:val="36"/>
          <w:szCs w:val="36"/>
          <w:highlight w:val="none"/>
        </w:rPr>
        <w:t>水产品质量安全承诺书</w:t>
      </w:r>
    </w:p>
    <w:p>
      <w:pPr>
        <w:spacing w:line="560" w:lineRule="exact"/>
        <w:jc w:val="center"/>
        <w:rPr>
          <w:rFonts w:ascii="Times New Roman" w:hAnsi="Times New Roman" w:eastAsia="方正小标宋_GBK" w:cs="Times New Roman"/>
          <w:color w:val="auto"/>
          <w:sz w:val="36"/>
          <w:szCs w:val="36"/>
          <w:highlight w:val="none"/>
        </w:rPr>
      </w:pP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为确保本单位（本人）在招租人区域内所从事的淡水养殖水产品质量安全，现本单位（本人）特作如下承诺。</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严格贯彻落实《渔业法》《农产品质量安全法》《兽药管理条例》等相关的法律法规。</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严格执行国家颁布实施的《无公害水产品产地环境要求》《淡水养殖用水水质》《渔用药物使用准则》《渔用配合饲料安全限量》。</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5、严格执行水产养殖废水达标排放和病、死鱼无害化处理等管理规定。自觉定期监测养殖用水水质，不把受到污染、经处理后仍达不到要求的养殖水体排入河道内，并及时报告当地渔业行政主管部门。</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6、无条件、无任何补偿地配合农业农村部门和招租人工作人员的监督检查和抽样检测工作。</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7、本人租赁养殖期间发生的与本人相关的安全责任事故或环保责任事故的，概由本人承担法律责任和经济损失，与招租人无关。</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8、如违反以上任何一条承诺，除愿意接受地方渔业行政主管部门的任何处罚外，自愿向招租人支付惩罚性违约金人民币50万元，并赔偿招租人由此蒙受的经济损失（包括但不限于罚款等经济损失）。</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签订日期：2023年  月  日</w:t>
      </w:r>
    </w:p>
    <w:p>
      <w:pPr>
        <w:rPr>
          <w:color w:val="auto"/>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tbl>
      <w:tblPr>
        <w:tblStyle w:val="8"/>
        <w:tblW w:w="9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附件16：《承租人租赁期间诚信履约记录表》</w:t>
            </w:r>
          </w:p>
        </w:tc>
        <w:tc>
          <w:tcPr>
            <w:tcW w:w="4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1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36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38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5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91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承租人租赁期间诚信履约记录表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注：1、上述承租人是指租赁该池塘的合同主体单位或个人，包括该合同下所有池塘。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注：2、上述扣分作为该承租人下一轮竞租信誉分评审的参考依据。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注：3、养殖区年底出具本区域承租人的记录表，并告知承租人，交灌东盐场水产养殖公司存档。承租人参与下一轮竞租时，须提供由养殖公司签字的上述表格。</w:t>
            </w:r>
          </w:p>
        </w:tc>
      </w:tr>
    </w:tbl>
    <w:p>
      <w:pPr>
        <w:spacing w:line="360" w:lineRule="exact"/>
        <w:rPr>
          <w:rFonts w:hint="eastAsia" w:ascii="仿宋" w:hAnsi="仿宋" w:eastAsia="仿宋"/>
          <w:color w:val="auto"/>
          <w:sz w:val="28"/>
          <w:szCs w:val="28"/>
          <w:highlight w:val="none"/>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4102" o:spid="_x0000_s4102" o:spt="203" style="position:absolute;left:0pt;margin-left:0.4pt;margin-top:770.3pt;height:53pt;width:532.9pt;mso-position-horizontal-relative:page;mso-position-vertical-relative:page;z-index:251662336;mso-width-relative:page;mso-height-relative:page;" coordorigin="15,14415" coordsize="10658,1060">
          <o:lock v:ext="edit"/>
          <v:shape id="_x0000_s4103" o:spid="_x0000_s4103" o:spt="32" type="#_x0000_t32" style="position:absolute;left:15;top:14415;height:1057;width:10171;" o:connectortype="straight" filled="f" stroked="t" coordsize="21600,21600">
            <v:path arrowok="t"/>
            <v:fill on="f" focussize="0,0"/>
            <v:stroke color="#A7BFDE"/>
            <v:imagedata o:title=""/>
            <o:lock v:ext="edit"/>
          </v:shape>
          <v:shape id="_x0000_s4104" o:spid="_x0000_s4104" o:spt="3" type="#_x0000_t3" style="position:absolute;left:9657;top:14459;height:1016;width:1016;" fillcolor="#A7BFDE" filled="t" stroked="f" coordsize="21600,21600">
            <v:path/>
            <v:fill on="t" focussize="0,0"/>
            <v:stroke on="f"/>
            <v:imagedata o:title=""/>
            <o:lock v:ext="edit"/>
          </v:shape>
          <v:shape id="_x0000_s4105" o:spid="_x0000_s4105" o:spt="3" type="#_x0000_t3" style="position:absolute;left:9733;top:14568;height:904;width:908;" fillcolor="#D3DFEE" filled="t" stroked="f" coordsize="21600,21600">
            <v:path/>
            <v:fill on="t" focussize="0,0"/>
            <v:stroke on="f"/>
            <v:imagedata o:title=""/>
            <o:lock v:ext="edit"/>
          </v:shape>
          <v:shape id="_x0000_s4106" o:spid="_x0000_s4106" o:spt="3" type="#_x0000_t3" style="position:absolute;left:9802;top:14688;height:784;width:783;v-text-anchor:middle;" fillcolor="#7BA0CD" filled="t" stroked="f" coordsize="21600,21600">
            <v:path/>
            <v:fill on="t" focussize="0,0"/>
            <v:stroke on="f"/>
            <v:imagedata o:title=""/>
            <o:lock v:ext="edit"/>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33</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w:pict>
        <v:group id="组合 3" o:spid="_x0000_s409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lock v:ext="edit"/>
          <v:shape id="自选图形 4" o:spid="_x0000_s4098" o:spt="32" type="#_x0000_t32" style="position:absolute;left:9;top:1431;height:0;width:15822;" o:connectortype="straight" filled="f" stroked="t" coordsize="21600,21600">
            <v:path arrowok="t"/>
            <v:fill on="f" focussize="0,0"/>
            <v:stroke color="#31849B"/>
            <v:imagedata o:title=""/>
            <o:lock v:ext="edit"/>
          </v:shape>
          <v:rect id="矩形 5" o:spid="_x0000_s4099" o:spt="1" style="position:absolute;left:8;top:9;height:1439;width:4031;" filled="f" stroked="f" coordsize="21600,21600">
            <v:path/>
            <v:fill on="f" focussize="0,0"/>
            <v:stroke on="f"/>
            <v:imagedata o:title=""/>
            <o:lock v:ext="edit"/>
          </v:rect>
        </v:group>
      </w:pict>
    </w:r>
    <w:r>
      <w:rPr>
        <w:rFonts w:ascii="Cambria" w:hAnsi="Cambria"/>
      </w:rPr>
      <w:pict>
        <v:rect id="矩形 2" o:spid="_x0000_s4100"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矩形 1" o:spid="_x0000_s4101"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3FB12"/>
    <w:multiLevelType w:val="singleLevel"/>
    <w:tmpl w:val="5813FB1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 id="V:Rule2" type="connector" idref="#_x0000_s410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CF4BC0"/>
    <w:rsid w:val="01F7760C"/>
    <w:rsid w:val="02FE4F68"/>
    <w:rsid w:val="0347143C"/>
    <w:rsid w:val="03932CB0"/>
    <w:rsid w:val="04041A60"/>
    <w:rsid w:val="041907A5"/>
    <w:rsid w:val="04681363"/>
    <w:rsid w:val="048412F3"/>
    <w:rsid w:val="04EB42F8"/>
    <w:rsid w:val="052C507E"/>
    <w:rsid w:val="06750BD0"/>
    <w:rsid w:val="073A5E06"/>
    <w:rsid w:val="084B2159"/>
    <w:rsid w:val="08F37CAD"/>
    <w:rsid w:val="0A2B57F0"/>
    <w:rsid w:val="0AC32BD5"/>
    <w:rsid w:val="0AE81D1A"/>
    <w:rsid w:val="0B477500"/>
    <w:rsid w:val="0B8A269E"/>
    <w:rsid w:val="0C093EF8"/>
    <w:rsid w:val="0D6A14D0"/>
    <w:rsid w:val="0D7A56F3"/>
    <w:rsid w:val="0D9E3DB8"/>
    <w:rsid w:val="0DAE63E8"/>
    <w:rsid w:val="0FE05822"/>
    <w:rsid w:val="102F79BA"/>
    <w:rsid w:val="10437371"/>
    <w:rsid w:val="10F1147B"/>
    <w:rsid w:val="1293605E"/>
    <w:rsid w:val="12A165D1"/>
    <w:rsid w:val="12D718D8"/>
    <w:rsid w:val="13B011C1"/>
    <w:rsid w:val="146B0BCB"/>
    <w:rsid w:val="15273154"/>
    <w:rsid w:val="167069E6"/>
    <w:rsid w:val="17CC2342"/>
    <w:rsid w:val="18A52295"/>
    <w:rsid w:val="18DC2E7A"/>
    <w:rsid w:val="1B9118D8"/>
    <w:rsid w:val="1BCB46BE"/>
    <w:rsid w:val="1BEF1EF6"/>
    <w:rsid w:val="1D9F5E03"/>
    <w:rsid w:val="1E0A5972"/>
    <w:rsid w:val="1E51209A"/>
    <w:rsid w:val="1E937B9A"/>
    <w:rsid w:val="1EB458DE"/>
    <w:rsid w:val="1FDD176B"/>
    <w:rsid w:val="205D447F"/>
    <w:rsid w:val="2152713F"/>
    <w:rsid w:val="21A45891"/>
    <w:rsid w:val="21F4671D"/>
    <w:rsid w:val="22721D38"/>
    <w:rsid w:val="23A81EB5"/>
    <w:rsid w:val="242C148F"/>
    <w:rsid w:val="24FD25E9"/>
    <w:rsid w:val="25274C9F"/>
    <w:rsid w:val="25CD67C4"/>
    <w:rsid w:val="261A696E"/>
    <w:rsid w:val="26472962"/>
    <w:rsid w:val="268E3B68"/>
    <w:rsid w:val="27EF5E9D"/>
    <w:rsid w:val="28862099"/>
    <w:rsid w:val="292962E2"/>
    <w:rsid w:val="29C00253"/>
    <w:rsid w:val="2AF30399"/>
    <w:rsid w:val="2B175A48"/>
    <w:rsid w:val="2BBD119C"/>
    <w:rsid w:val="2BC06540"/>
    <w:rsid w:val="2C416A03"/>
    <w:rsid w:val="2C701096"/>
    <w:rsid w:val="2F4E3F57"/>
    <w:rsid w:val="30510A10"/>
    <w:rsid w:val="33202BAF"/>
    <w:rsid w:val="33E6369D"/>
    <w:rsid w:val="33ED5EEE"/>
    <w:rsid w:val="340546BA"/>
    <w:rsid w:val="346A6D13"/>
    <w:rsid w:val="35C44201"/>
    <w:rsid w:val="35D233BB"/>
    <w:rsid w:val="3601240B"/>
    <w:rsid w:val="362F5B1E"/>
    <w:rsid w:val="390F1C37"/>
    <w:rsid w:val="392C4597"/>
    <w:rsid w:val="3AED7D56"/>
    <w:rsid w:val="3B1C1D6D"/>
    <w:rsid w:val="3BA50630"/>
    <w:rsid w:val="3C153A08"/>
    <w:rsid w:val="3E864749"/>
    <w:rsid w:val="3EAC15CA"/>
    <w:rsid w:val="3EF82BA2"/>
    <w:rsid w:val="3F660B10"/>
    <w:rsid w:val="41F540C0"/>
    <w:rsid w:val="42772A4C"/>
    <w:rsid w:val="43CA332A"/>
    <w:rsid w:val="453D55D8"/>
    <w:rsid w:val="462F56C6"/>
    <w:rsid w:val="473A2ED7"/>
    <w:rsid w:val="47AB10BC"/>
    <w:rsid w:val="49311755"/>
    <w:rsid w:val="493A702D"/>
    <w:rsid w:val="497F5A4D"/>
    <w:rsid w:val="4AD90A58"/>
    <w:rsid w:val="4B180E1F"/>
    <w:rsid w:val="4BF60027"/>
    <w:rsid w:val="4BF64B53"/>
    <w:rsid w:val="4CE239B7"/>
    <w:rsid w:val="4CF90B72"/>
    <w:rsid w:val="4F2E6CF0"/>
    <w:rsid w:val="4FBE01E7"/>
    <w:rsid w:val="50633D44"/>
    <w:rsid w:val="506B65CE"/>
    <w:rsid w:val="50B05655"/>
    <w:rsid w:val="511B64AC"/>
    <w:rsid w:val="512033B4"/>
    <w:rsid w:val="52463073"/>
    <w:rsid w:val="52974D1F"/>
    <w:rsid w:val="52A66D10"/>
    <w:rsid w:val="52D90E94"/>
    <w:rsid w:val="535D3873"/>
    <w:rsid w:val="53833A8B"/>
    <w:rsid w:val="538F59F6"/>
    <w:rsid w:val="55874538"/>
    <w:rsid w:val="58566579"/>
    <w:rsid w:val="59357A9F"/>
    <w:rsid w:val="593C3F2A"/>
    <w:rsid w:val="59926240"/>
    <w:rsid w:val="5B372778"/>
    <w:rsid w:val="5C0276AD"/>
    <w:rsid w:val="5D011713"/>
    <w:rsid w:val="5E633C05"/>
    <w:rsid w:val="5EC96C00"/>
    <w:rsid w:val="605E4BE5"/>
    <w:rsid w:val="61717A4C"/>
    <w:rsid w:val="61E93BFD"/>
    <w:rsid w:val="62573154"/>
    <w:rsid w:val="62E85F3A"/>
    <w:rsid w:val="6300421A"/>
    <w:rsid w:val="6337272B"/>
    <w:rsid w:val="63C77932"/>
    <w:rsid w:val="63D93898"/>
    <w:rsid w:val="64613CDE"/>
    <w:rsid w:val="64CC5AD7"/>
    <w:rsid w:val="6532762E"/>
    <w:rsid w:val="657131AE"/>
    <w:rsid w:val="65916638"/>
    <w:rsid w:val="66FC2F4B"/>
    <w:rsid w:val="67332E10"/>
    <w:rsid w:val="675E2679"/>
    <w:rsid w:val="699D5F79"/>
    <w:rsid w:val="6C53360D"/>
    <w:rsid w:val="6CD52274"/>
    <w:rsid w:val="6D91365E"/>
    <w:rsid w:val="6DDD1B99"/>
    <w:rsid w:val="6E456669"/>
    <w:rsid w:val="6E6E7968"/>
    <w:rsid w:val="6F3008B9"/>
    <w:rsid w:val="6FA549E6"/>
    <w:rsid w:val="70D4236E"/>
    <w:rsid w:val="7315073F"/>
    <w:rsid w:val="74387CB8"/>
    <w:rsid w:val="747F4B03"/>
    <w:rsid w:val="75E11C8A"/>
    <w:rsid w:val="76E97048"/>
    <w:rsid w:val="77D76A35"/>
    <w:rsid w:val="77F2017E"/>
    <w:rsid w:val="7B1D5512"/>
    <w:rsid w:val="7B347EC4"/>
    <w:rsid w:val="7BD70AF3"/>
    <w:rsid w:val="7C183F2B"/>
    <w:rsid w:val="7C5D00FB"/>
    <w:rsid w:val="7D8A70B3"/>
    <w:rsid w:val="7DBB22F8"/>
    <w:rsid w:val="7EA226A3"/>
    <w:rsid w:val="7F182BC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unhideWhenUsed/>
    <w:qFormat/>
    <w:uiPriority w:val="1"/>
  </w:style>
  <w:style w:type="table" w:default="1" w:styleId="8">
    <w:name w:val="Normal Table"/>
    <w:unhideWhenUsed/>
    <w:qFormat/>
    <w:uiPriority w:val="99"/>
    <w:rPr>
      <w:rFonts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Cambria" w:hAnsi="Cambria" w:eastAsia="宋体" w:cs="Times New Roman"/>
      <w:b/>
      <w:bCs/>
      <w:color w:val="366091"/>
      <w:kern w:val="0"/>
      <w:sz w:val="28"/>
      <w:szCs w:val="28"/>
    </w:rPr>
  </w:style>
  <w:style w:type="character" w:customStyle="1" w:styleId="12">
    <w:name w:val="日期 Char"/>
    <w:basedOn w:val="10"/>
    <w:link w:val="3"/>
    <w:semiHidden/>
    <w:qFormat/>
    <w:uiPriority w:val="99"/>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qFormat/>
    <w:uiPriority w:val="0"/>
    <w:rPr>
      <w:rFonts w:ascii="MS Gothic" w:hAnsi="MS Gothic" w:eastAsia="MS Gothic" w:cs="MS Gothic"/>
      <w:color w:val="000000"/>
      <w:sz w:val="20"/>
      <w:szCs w:val="20"/>
      <w:u w:val="none"/>
    </w:rPr>
  </w:style>
  <w:style w:type="character" w:customStyle="1" w:styleId="19">
    <w:name w:val="font91"/>
    <w:basedOn w:val="10"/>
    <w:qFormat/>
    <w:uiPriority w:val="0"/>
    <w:rPr>
      <w:rFonts w:ascii="MS Gothic" w:hAnsi="MS Gothic" w:eastAsia="MS Gothic" w:cs="MS Gothic"/>
      <w:color w:val="000000"/>
      <w:sz w:val="20"/>
      <w:szCs w:val="20"/>
      <w:u w:val="none"/>
    </w:rPr>
  </w:style>
  <w:style w:type="character" w:customStyle="1" w:styleId="20">
    <w:name w:val="font11"/>
    <w:basedOn w:val="10"/>
    <w:qFormat/>
    <w:uiPriority w:val="0"/>
    <w:rPr>
      <w:rFonts w:hint="default" w:ascii="Tahoma" w:hAnsi="Tahoma" w:eastAsia="Tahoma" w:cs="Tahoma"/>
      <w:b/>
      <w:bCs/>
      <w:color w:val="FF0000"/>
      <w:sz w:val="20"/>
      <w:szCs w:val="20"/>
      <w:u w:val="none"/>
    </w:rPr>
  </w:style>
  <w:style w:type="character" w:customStyle="1" w:styleId="21">
    <w:name w:val="font21"/>
    <w:basedOn w:val="10"/>
    <w:qFormat/>
    <w:uiPriority w:val="0"/>
    <w:rPr>
      <w:rFonts w:hint="eastAsia" w:ascii="宋体" w:hAnsi="宋体" w:eastAsia="宋体" w:cs="宋体"/>
      <w:b/>
      <w:bCs/>
      <w:color w:val="FF0000"/>
      <w:sz w:val="20"/>
      <w:szCs w:val="20"/>
      <w:u w:val="none"/>
    </w:rPr>
  </w:style>
  <w:style w:type="character" w:customStyle="1" w:styleId="22">
    <w:name w:val="font51"/>
    <w:basedOn w:val="10"/>
    <w:qFormat/>
    <w:uiPriority w:val="0"/>
    <w:rPr>
      <w:rFonts w:hint="eastAsia" w:ascii="宋体" w:hAnsi="宋体" w:eastAsia="宋体" w:cs="宋体"/>
      <w:color w:val="333333"/>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6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Info spid="_x0000_s4101"/>
    <customShpInfo spid="_x0000_s4103"/>
    <customShpInfo spid="_x0000_s4104"/>
    <customShpInfo spid="_x0000_s4105"/>
    <customShpInfo spid="_x0000_s4106"/>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3990</Words>
  <Characters>22749</Characters>
  <Lines>189</Lines>
  <Paragraphs>53</Paragraphs>
  <TotalTime>369</TotalTime>
  <ScaleCrop>false</ScaleCrop>
  <LinksUpToDate>false</LinksUpToDate>
  <CharactersWithSpaces>26686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2023-11-08T12:56:00Z</dcterms:created>
  <dc:creator>DELL</dc:creator>
  <cp:lastModifiedBy>赵的爱人</cp:lastModifiedBy>
  <cp:lastPrinted>2023-11-29T03:01:00Z</cp:lastPrinted>
  <dcterms:modified xsi:type="dcterms:W3CDTF">2023-12-14T00:25:32Z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6775F5CE89E64457B3C0F8249A645AB0_13</vt:lpwstr>
  </property>
</Properties>
</file>