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sz w:val="36"/>
          <w:szCs w:val="36"/>
        </w:rPr>
      </w:pPr>
      <w:bookmarkStart w:id="0" w:name="_GoBack"/>
      <w:bookmarkEnd w:id="0"/>
    </w:p>
    <w:p>
      <w:pPr>
        <w:jc w:val="center"/>
        <w:rPr>
          <w:rFonts w:ascii="黑体" w:hAnsi="黑体" w:eastAsia="黑体"/>
          <w:color w:val="000000"/>
          <w:sz w:val="36"/>
          <w:szCs w:val="36"/>
        </w:rPr>
      </w:pPr>
      <w:r>
        <w:rPr>
          <w:rFonts w:hint="eastAsia" w:ascii="黑体" w:hAnsi="黑体" w:eastAsia="黑体"/>
          <w:color w:val="000000"/>
          <w:sz w:val="36"/>
          <w:szCs w:val="36"/>
        </w:rPr>
        <w:t>盐城市新滩盐场实业发展有限公司</w:t>
      </w:r>
    </w:p>
    <w:p>
      <w:pPr>
        <w:jc w:val="center"/>
        <w:rPr>
          <w:rFonts w:ascii="黑体" w:hAnsi="黑体" w:eastAsia="黑体"/>
          <w:color w:val="000000"/>
          <w:sz w:val="36"/>
          <w:szCs w:val="36"/>
        </w:rPr>
      </w:pPr>
      <w:r>
        <w:rPr>
          <w:rFonts w:hint="eastAsia" w:ascii="黑体" w:hAnsi="黑体" w:eastAsia="黑体"/>
          <w:color w:val="000000"/>
          <w:sz w:val="36"/>
          <w:szCs w:val="36"/>
        </w:rPr>
        <w:t>2024年度</w:t>
      </w:r>
      <w:r>
        <w:rPr>
          <w:rFonts w:hint="eastAsia" w:ascii="黑体" w:hAnsi="黑体" w:eastAsia="黑体"/>
          <w:sz w:val="36"/>
          <w:szCs w:val="36"/>
        </w:rPr>
        <w:t>第三次</w:t>
      </w:r>
      <w:r>
        <w:rPr>
          <w:rFonts w:hint="eastAsia" w:ascii="黑体" w:hAnsi="黑体" w:eastAsia="黑体"/>
          <w:color w:val="000000"/>
          <w:sz w:val="36"/>
          <w:szCs w:val="36"/>
        </w:rPr>
        <w:t>养殖池塘（零星池塘）公开招租方案书</w:t>
      </w:r>
    </w:p>
    <w:p>
      <w:pPr>
        <w:spacing w:line="240" w:lineRule="exact"/>
        <w:ind w:firstLine="565" w:firstLineChars="202"/>
        <w:rPr>
          <w:rFonts w:ascii="宋体" w:hAnsi="宋体"/>
          <w:color w:val="000000"/>
          <w:sz w:val="28"/>
          <w:szCs w:val="28"/>
        </w:rPr>
      </w:pPr>
    </w:p>
    <w:p>
      <w:pPr>
        <w:spacing w:line="560" w:lineRule="exact"/>
        <w:ind w:firstLine="565" w:firstLineChars="202"/>
        <w:rPr>
          <w:rFonts w:ascii="宋体" w:hAnsi="宋体"/>
          <w:b/>
          <w:color w:val="000000"/>
          <w:sz w:val="28"/>
          <w:szCs w:val="28"/>
        </w:rPr>
      </w:pPr>
      <w:r>
        <w:rPr>
          <w:rFonts w:hint="eastAsia" w:ascii="宋体" w:hAnsi="宋体"/>
          <w:color w:val="000000"/>
          <w:sz w:val="28"/>
          <w:szCs w:val="28"/>
        </w:rPr>
        <w:t>盐城市新滩盐场实业发展有限公司经营管理的、租期届满的养殖池塘和零星池塘（下统称为池塘），依法将对外公开竞租。现按照我国现行有效法律法规的规定，结合出租池塘的实际情况，拟定本方案书。</w:t>
      </w:r>
    </w:p>
    <w:p>
      <w:pPr>
        <w:spacing w:line="720" w:lineRule="auto"/>
        <w:jc w:val="center"/>
        <w:rPr>
          <w:rFonts w:ascii="宋体" w:hAnsi="宋体"/>
          <w:b/>
          <w:color w:val="000000"/>
          <w:sz w:val="32"/>
          <w:szCs w:val="32"/>
        </w:rPr>
      </w:pPr>
      <w:r>
        <w:rPr>
          <w:rFonts w:hint="eastAsia" w:ascii="宋体" w:hAnsi="宋体"/>
          <w:b/>
          <w:color w:val="000000"/>
          <w:sz w:val="32"/>
          <w:szCs w:val="32"/>
        </w:rPr>
        <w:t>第一部分 招租公告</w:t>
      </w:r>
    </w:p>
    <w:p>
      <w:pPr>
        <w:spacing w:line="560" w:lineRule="exact"/>
        <w:ind w:firstLine="565" w:firstLineChars="202"/>
        <w:rPr>
          <w:rFonts w:ascii="宋体" w:hAnsi="宋体"/>
          <w:color w:val="000000"/>
          <w:sz w:val="28"/>
          <w:szCs w:val="28"/>
        </w:rPr>
      </w:pPr>
      <w:r>
        <w:rPr>
          <w:rFonts w:hint="eastAsia" w:ascii="宋体" w:hAnsi="宋体"/>
          <w:color w:val="000000"/>
          <w:sz w:val="28"/>
          <w:szCs w:val="28"/>
        </w:rPr>
        <w:t>池塘租赁本身属于商业性行为，但由于招租池塘属于国有资产，依照国有资产的相关规定，应当采取公开方式对外招租。本公告可以通过当地主流媒体和招租人网站对外公布信息，争取更多的潜在竞租人知晓并参加竞租</w:t>
      </w:r>
      <w:r>
        <w:rPr>
          <w:rFonts w:hint="eastAsia" w:ascii="宋体" w:hAnsi="宋体"/>
          <w:color w:val="FF0000"/>
          <w:sz w:val="28"/>
          <w:szCs w:val="28"/>
        </w:rPr>
        <w:t>。</w:t>
      </w:r>
      <w:r>
        <w:rPr>
          <w:rFonts w:hint="eastAsia" w:ascii="宋体" w:hAnsi="宋体"/>
          <w:color w:val="000000"/>
          <w:sz w:val="28"/>
          <w:szCs w:val="28"/>
        </w:rPr>
        <w:t>公告内容为：</w:t>
      </w:r>
    </w:p>
    <w:p>
      <w:pPr>
        <w:spacing w:line="240" w:lineRule="exact"/>
        <w:jc w:val="center"/>
        <w:rPr>
          <w:rFonts w:ascii="宋体" w:hAnsi="宋体"/>
          <w:b/>
          <w:color w:val="000000"/>
          <w:sz w:val="32"/>
          <w:szCs w:val="32"/>
        </w:rPr>
      </w:pPr>
    </w:p>
    <w:p>
      <w:pPr>
        <w:spacing w:line="460" w:lineRule="exact"/>
        <w:jc w:val="center"/>
        <w:rPr>
          <w:rFonts w:ascii="仿宋" w:hAnsi="仿宋" w:eastAsia="仿宋"/>
          <w:b/>
          <w:color w:val="000000"/>
          <w:sz w:val="28"/>
          <w:szCs w:val="28"/>
        </w:rPr>
      </w:pPr>
      <w:r>
        <w:rPr>
          <w:rFonts w:hint="eastAsia" w:ascii="仿宋" w:hAnsi="仿宋" w:eastAsia="仿宋"/>
          <w:b/>
          <w:color w:val="000000"/>
          <w:sz w:val="28"/>
          <w:szCs w:val="28"/>
        </w:rPr>
        <w:t>盐城市新滩盐场实业发展有限公司</w:t>
      </w:r>
    </w:p>
    <w:p>
      <w:pPr>
        <w:spacing w:line="460" w:lineRule="exact"/>
        <w:jc w:val="center"/>
        <w:rPr>
          <w:rFonts w:ascii="仿宋" w:hAnsi="仿宋" w:eastAsia="仿宋"/>
          <w:b/>
          <w:color w:val="000000"/>
          <w:sz w:val="28"/>
          <w:szCs w:val="28"/>
        </w:rPr>
      </w:pPr>
      <w:r>
        <w:rPr>
          <w:rFonts w:hint="eastAsia" w:ascii="仿宋" w:hAnsi="仿宋" w:eastAsia="仿宋"/>
          <w:b/>
          <w:color w:val="000000"/>
          <w:sz w:val="28"/>
          <w:szCs w:val="28"/>
        </w:rPr>
        <w:t>2024年度</w:t>
      </w:r>
      <w:r>
        <w:rPr>
          <w:rFonts w:hint="eastAsia" w:ascii="仿宋" w:hAnsi="仿宋" w:eastAsia="仿宋"/>
          <w:b/>
          <w:sz w:val="28"/>
          <w:szCs w:val="28"/>
        </w:rPr>
        <w:t>第三次</w:t>
      </w:r>
      <w:r>
        <w:rPr>
          <w:rFonts w:hint="eastAsia" w:ascii="仿宋" w:hAnsi="仿宋" w:eastAsia="仿宋"/>
          <w:b/>
          <w:color w:val="000000"/>
          <w:sz w:val="28"/>
          <w:szCs w:val="28"/>
        </w:rPr>
        <w:t>养殖池塘（零星池塘）公开招租公告</w:t>
      </w:r>
    </w:p>
    <w:p>
      <w:pPr>
        <w:spacing w:line="240" w:lineRule="exact"/>
        <w:jc w:val="center"/>
        <w:rPr>
          <w:rFonts w:ascii="仿宋" w:hAnsi="仿宋" w:eastAsia="仿宋"/>
          <w:color w:val="000000"/>
          <w:sz w:val="28"/>
          <w:szCs w:val="28"/>
        </w:rPr>
      </w:pP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招租人盐城市新滩盐场实业发展有限公司（下简称新滩盐场）拟对租期届满的养殖池塘和零星池塘（下统称池塘）进行公开招租，相关事项公告如下：</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一、租赁池塘的概况</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招租人新滩盐场拟招租的养殖池塘类型包括海水和淡水（具体养殖类型及要求以《招租池塘情况一览表》为准）。池塘及其水、电、路等设施以现状为准进行招租，在本次租赁期间，招租人不再对池塘及其设施设备进行修缮或添置等投入。</w:t>
      </w:r>
    </w:p>
    <w:p>
      <w:pPr>
        <w:spacing w:line="520" w:lineRule="exact"/>
        <w:ind w:firstLine="565" w:firstLineChars="202"/>
        <w:rPr>
          <w:rFonts w:ascii="仿宋" w:hAnsi="仿宋" w:eastAsia="仿宋"/>
          <w:sz w:val="28"/>
          <w:szCs w:val="28"/>
        </w:rPr>
      </w:pPr>
      <w:r>
        <w:rPr>
          <w:rFonts w:hint="eastAsia" w:ascii="仿宋" w:hAnsi="仿宋" w:eastAsia="仿宋"/>
          <w:color w:val="000000"/>
          <w:sz w:val="28"/>
          <w:szCs w:val="28"/>
        </w:rPr>
        <w:t>特别提示：</w:t>
      </w:r>
      <w:r>
        <w:rPr>
          <w:rFonts w:hint="eastAsia" w:ascii="仿宋" w:hAnsi="仿宋" w:eastAsia="仿宋"/>
          <w:sz w:val="28"/>
          <w:szCs w:val="28"/>
        </w:rPr>
        <w:t>竞租人不得存在借名竞租、挂靠竞租、擅自转租分租等情形。竞租人中标后，必须自行组织生产，且不得以任何理由与此前曾积欠甲方租金的单位或个人或曾占用甲方养殖池塘或土地的单位或个人、或与甲方存在未决的争议纠纷的单位或个人进行任何形式的合作（招租人书面同意的除外）。</w:t>
      </w:r>
    </w:p>
    <w:p>
      <w:pPr>
        <w:spacing w:line="52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二、租期及招租底价</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1.租赁期限自竞租中标人实际接受池塘之日起算，具体租赁期限详见《招租池塘情况一览表》。</w:t>
      </w:r>
      <w:r>
        <w:rPr>
          <w:rFonts w:ascii="仿宋" w:hAnsi="仿宋" w:eastAsia="仿宋"/>
          <w:color w:val="000000"/>
          <w:sz w:val="28"/>
          <w:szCs w:val="28"/>
        </w:rPr>
        <w:t xml:space="preserve"> </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2.实行“一塘一价”，竞租人按照《招租池塘情况一览表》中各个标段号的招租池塘的招租底价、租赁期限、竞租保证金、预付租金数额和对竞租人条件的具体要求等情况进行报名竞租。 </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竞租人的竞租报价不得低于招租人的招租底价。凡是低于招租底价的竞租报价均属于无效报价，招租人概不予评审。</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三、竞租人资格条件</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1.竞租人须是与池塘养殖有关的或拟从事池塘养殖的公司法人、非法人单位或自然人，但必须符合各个招租池塘对竞租人条件的具体要求。</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2.如竞租人系招租人新滩盐场以前的池塘养殖承租户或承包人的，须与招租人之间就此前池塘租赁合同没有任何未处理完毕的争议，并签署了《声明书》。</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3.招租人不接受本单位在职在岗的职工（即领取招租人工资的人员）参加池塘竞租。</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4.竞租人未被“信用中国”(www.creditchina.gov.cn)列入重大税收违法案件当事人名单、未被列入政府采购严重失信行为人名单（竞租人的其他不良记录等情况不纳入本次竞租的资格条件）。</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四、招租方法</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1.对竞租人实行资格后审，并采用“综合评估法”进行评审。由招租评审组按照经公示的评审规则对竞租人提交的有效竞租文件进行评审。</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招租人不组织现场踏勘，由竞租人自行到意向竞租的池塘现场进行察看。竞租人提交竞租资料的行为，即视为其已完全了解所竞租池塘的实际状况，并接受其竞租池塘的竞租底价、品质等情况以及本招租文件中的全部内容。</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3.如竞租人是某标段号竞租池塘的原承租人的，在同等条件下对原承租池塘享有优先承租权，但该原承租人必须参加对自己先前承租池塘的竞租，否则视为放弃优先承租权。</w:t>
      </w:r>
    </w:p>
    <w:p>
      <w:pPr>
        <w:spacing w:line="520" w:lineRule="exact"/>
        <w:ind w:firstLine="565" w:firstLineChars="202"/>
        <w:rPr>
          <w:rFonts w:ascii="仿宋" w:hAnsi="仿宋" w:eastAsia="仿宋"/>
          <w:b/>
          <w:bCs/>
          <w:color w:val="000000"/>
          <w:sz w:val="28"/>
          <w:szCs w:val="28"/>
        </w:rPr>
      </w:pPr>
      <w:r>
        <w:rPr>
          <w:rFonts w:hint="eastAsia" w:ascii="仿宋" w:hAnsi="仿宋" w:eastAsia="仿宋"/>
          <w:color w:val="000000"/>
          <w:sz w:val="28"/>
          <w:szCs w:val="28"/>
        </w:rPr>
        <w:t>4.竞租人须足额缴纳《招租池塘情况一览表》中列明的意向竞租池塘的竞租保证金及预付租金,在提交竞租材料之前以银行汇款形式支付至招租人银行账户。招租人不接受竞租人以其他形式缴纳的竞租保证金和预付租金。竞租人没有按照要求缴纳保证金及预付租金的，评审组将拒绝对其竞租资料进行评审。</w:t>
      </w:r>
      <w:r>
        <w:rPr>
          <w:rFonts w:hint="eastAsia" w:ascii="仿宋" w:hAnsi="仿宋" w:eastAsia="仿宋"/>
          <w:b/>
          <w:bCs/>
          <w:color w:val="000000"/>
          <w:sz w:val="28"/>
          <w:szCs w:val="28"/>
        </w:rPr>
        <w:t>竞租人以银行汇款形式缴纳竞租保证金和预付租金时，要在汇款备注中注明所竞租的竞租池塘标段号和所缴纳的资金项目名称。</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5.竞租人是公司法人的，如法定代表人本人不能参加竞租的，可以委托本单位的一名在职职工代为参加竞租，但须提供法定代表人签署的授权委托书原件和代理人身份证复印件（身份证原件备查）。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竞租人是非法人组织或自然人的，必须由非法人单位的负责人本人或自然人本人参加竞租，不得委托他人代为参加竞租（身份证原件备查）。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竞租人未按上述要求指派人员参加竞租的，视为放弃竞租权，其所缴纳的竞租保证金将不予退还。</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五、竞租保证金及预付租金的收款账户：</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开户行：</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中国农业银行滨海港支行</w:t>
      </w:r>
      <w:r>
        <w:rPr>
          <w:rFonts w:ascii="仿宋" w:hAnsi="仿宋" w:eastAsia="仿宋"/>
          <w:color w:val="000000"/>
          <w:sz w:val="28"/>
          <w:szCs w:val="28"/>
          <w:u w:val="single"/>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账号：</w:t>
      </w:r>
      <w:r>
        <w:rPr>
          <w:rFonts w:ascii="仿宋" w:hAnsi="仿宋" w:eastAsia="仿宋"/>
          <w:color w:val="000000"/>
          <w:sz w:val="28"/>
          <w:szCs w:val="28"/>
          <w:u w:val="single"/>
        </w:rPr>
        <w:t xml:space="preserve"> 10411701040002061</w:t>
      </w:r>
    </w:p>
    <w:p>
      <w:pPr>
        <w:spacing w:line="520" w:lineRule="exact"/>
        <w:ind w:firstLine="565" w:firstLineChars="202"/>
        <w:jc w:val="left"/>
        <w:rPr>
          <w:rFonts w:ascii="仿宋" w:hAnsi="仿宋" w:eastAsia="仿宋"/>
          <w:color w:val="000000"/>
          <w:sz w:val="28"/>
          <w:szCs w:val="28"/>
        </w:rPr>
      </w:pPr>
      <w:r>
        <w:rPr>
          <w:rFonts w:hint="eastAsia" w:ascii="仿宋" w:hAnsi="仿宋" w:eastAsia="仿宋"/>
          <w:color w:val="000000"/>
          <w:sz w:val="28"/>
          <w:szCs w:val="28"/>
        </w:rPr>
        <w:t>户主：</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盐城市新滩盐场实业发展有限公司</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spacing w:line="520" w:lineRule="exact"/>
        <w:ind w:firstLine="568" w:firstLineChars="202"/>
        <w:rPr>
          <w:rFonts w:ascii="仿宋" w:hAnsi="仿宋" w:eastAsia="仿宋"/>
          <w:color w:val="000000"/>
          <w:sz w:val="28"/>
          <w:szCs w:val="28"/>
        </w:rPr>
      </w:pPr>
      <w:r>
        <w:rPr>
          <w:rFonts w:hint="eastAsia" w:ascii="仿宋" w:hAnsi="仿宋" w:eastAsia="仿宋"/>
          <w:b/>
          <w:bCs/>
          <w:color w:val="000000"/>
          <w:sz w:val="28"/>
          <w:szCs w:val="28"/>
        </w:rPr>
        <w:t>特别提示：竞租人以银行或网银形式汇款缴纳竞租保证金和预付租金时，要在汇款备注中注明所竞租的竞租池塘标段号和所缴纳的资金项目名称。</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六、竞租人可以参考招租人提供的竞租文件格式制作竞租材料。竞租材料中必须包括：（1）竞租人的营业执照或身份证复印件，（2）填写完整、且加盖竞租人印章或签名手印的《竞租池塘登记表》、《声明书》、《承诺书》和《竞租报价表》，（3）按照评审规则中的积分细目的顺序和内容而组织的竞租材料等。对于</w:t>
      </w:r>
      <w:r>
        <w:rPr>
          <w:rFonts w:ascii="仿宋" w:hAnsi="仿宋" w:eastAsia="仿宋"/>
          <w:color w:val="000000"/>
          <w:sz w:val="28"/>
          <w:szCs w:val="28"/>
        </w:rPr>
        <w:t>上述竞租材料</w:t>
      </w:r>
      <w:r>
        <w:rPr>
          <w:rFonts w:hint="eastAsia" w:ascii="仿宋" w:hAnsi="仿宋" w:eastAsia="仿宋"/>
          <w:color w:val="000000"/>
          <w:sz w:val="28"/>
          <w:szCs w:val="28"/>
        </w:rPr>
        <w:t>，应编制目录和页码，并装订成册。</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所有竞租材料必须装入文件袋内，并密封，由竞租人在封口处加盖单位印章或签名加摁手印。竞租人须对意向竞租的每一个标段号池塘制作独立的竞租材料，并分别装袋和密封。</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七、竞租材料提交的时间及地点</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1.提交时间为：</w:t>
      </w:r>
      <w:r>
        <w:rPr>
          <w:rFonts w:hint="eastAsia" w:ascii="仿宋" w:hAnsi="仿宋" w:eastAsia="仿宋"/>
          <w:color w:val="000000"/>
          <w:sz w:val="28"/>
          <w:szCs w:val="28"/>
          <w:highlight w:val="yellow"/>
        </w:rPr>
        <w:t>2024年</w:t>
      </w:r>
      <w:r>
        <w:rPr>
          <w:rFonts w:hint="eastAsia" w:ascii="仿宋" w:hAnsi="仿宋" w:eastAsia="仿宋"/>
          <w:color w:val="000000"/>
          <w:sz w:val="28"/>
          <w:szCs w:val="28"/>
          <w:highlight w:val="yellow"/>
          <w:u w:val="single"/>
        </w:rPr>
        <w:t xml:space="preserve">  </w:t>
      </w:r>
      <w:r>
        <w:rPr>
          <w:rFonts w:hint="eastAsia" w:ascii="仿宋" w:hAnsi="仿宋" w:eastAsia="仿宋"/>
          <w:color w:val="000000"/>
          <w:sz w:val="28"/>
          <w:szCs w:val="28"/>
          <w:highlight w:val="yellow"/>
          <w:u w:val="single"/>
          <w:lang w:val="en-US" w:eastAsia="zh-CN"/>
        </w:rPr>
        <w:t>6</w:t>
      </w:r>
      <w:r>
        <w:rPr>
          <w:rFonts w:hint="eastAsia" w:ascii="仿宋" w:hAnsi="仿宋" w:eastAsia="仿宋"/>
          <w:color w:val="000000"/>
          <w:sz w:val="28"/>
          <w:szCs w:val="28"/>
          <w:highlight w:val="yellow"/>
          <w:u w:val="single"/>
        </w:rPr>
        <w:t xml:space="preserve"> </w:t>
      </w:r>
      <w:r>
        <w:rPr>
          <w:rFonts w:hint="eastAsia" w:ascii="仿宋" w:hAnsi="仿宋" w:eastAsia="仿宋"/>
          <w:color w:val="000000"/>
          <w:sz w:val="28"/>
          <w:szCs w:val="28"/>
          <w:highlight w:val="yellow"/>
        </w:rPr>
        <w:t>月</w:t>
      </w:r>
      <w:r>
        <w:rPr>
          <w:rFonts w:hint="eastAsia" w:ascii="仿宋" w:hAnsi="仿宋" w:eastAsia="仿宋"/>
          <w:color w:val="000000"/>
          <w:sz w:val="28"/>
          <w:szCs w:val="28"/>
          <w:highlight w:val="yellow"/>
          <w:u w:val="single"/>
        </w:rPr>
        <w:t xml:space="preserve">  </w:t>
      </w:r>
      <w:r>
        <w:rPr>
          <w:rFonts w:hint="eastAsia" w:ascii="仿宋" w:hAnsi="仿宋" w:eastAsia="仿宋"/>
          <w:color w:val="000000"/>
          <w:sz w:val="28"/>
          <w:szCs w:val="28"/>
          <w:highlight w:val="yellow"/>
          <w:u w:val="single"/>
          <w:lang w:val="en-US" w:eastAsia="zh-CN"/>
        </w:rPr>
        <w:t>27</w:t>
      </w:r>
      <w:r>
        <w:rPr>
          <w:rFonts w:hint="eastAsia" w:ascii="仿宋" w:hAnsi="仿宋" w:eastAsia="仿宋"/>
          <w:color w:val="000000"/>
          <w:sz w:val="28"/>
          <w:szCs w:val="28"/>
          <w:highlight w:val="yellow"/>
          <w:u w:val="single"/>
        </w:rPr>
        <w:t xml:space="preserve"> </w:t>
      </w:r>
      <w:r>
        <w:rPr>
          <w:rFonts w:hint="eastAsia" w:ascii="仿宋" w:hAnsi="仿宋" w:eastAsia="仿宋"/>
          <w:color w:val="000000"/>
          <w:sz w:val="28"/>
          <w:szCs w:val="28"/>
          <w:highlight w:val="yellow"/>
        </w:rPr>
        <w:t>日</w:t>
      </w:r>
      <w:r>
        <w:rPr>
          <w:rFonts w:hint="eastAsia" w:ascii="仿宋" w:hAnsi="仿宋" w:eastAsia="仿宋"/>
          <w:color w:val="000000"/>
          <w:sz w:val="28"/>
          <w:szCs w:val="28"/>
        </w:rPr>
        <w:t>（8：30—17:00）。</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2.提交地点为：新滩盐场大院内（具体地址为</w:t>
      </w:r>
      <w:r>
        <w:rPr>
          <w:rFonts w:hint="eastAsia" w:ascii="仿宋" w:hAnsi="仿宋" w:eastAsia="仿宋"/>
          <w:color w:val="000000"/>
          <w:sz w:val="28"/>
          <w:szCs w:val="28"/>
          <w:u w:val="single"/>
        </w:rPr>
        <w:t xml:space="preserve"> 滨海县新滩盐场新滩东路1号</w:t>
      </w:r>
      <w:r>
        <w:rPr>
          <w:rFonts w:hint="eastAsia" w:ascii="仿宋" w:hAnsi="仿宋" w:eastAsia="仿宋"/>
          <w:color w:val="000000"/>
          <w:sz w:val="28"/>
          <w:szCs w:val="28"/>
        </w:rPr>
        <w:t>），联系电话及联系人：</w:t>
      </w:r>
      <w:r>
        <w:rPr>
          <w:rFonts w:hint="eastAsia" w:ascii="仿宋" w:hAnsi="仿宋" w:eastAsia="仿宋"/>
          <w:color w:val="000000"/>
          <w:sz w:val="28"/>
          <w:szCs w:val="28"/>
          <w:u w:val="single"/>
        </w:rPr>
        <w:t xml:space="preserve"> 王</w:t>
      </w:r>
      <w:r>
        <w:rPr>
          <w:rFonts w:hint="eastAsia" w:ascii="仿宋" w:hAnsi="仿宋" w:eastAsia="仿宋"/>
          <w:sz w:val="28"/>
          <w:szCs w:val="28"/>
          <w:u w:val="single"/>
        </w:rPr>
        <w:t>先生（13813241379）</w:t>
      </w:r>
      <w:r>
        <w:rPr>
          <w:rFonts w:hint="eastAsia" w:ascii="仿宋" w:hAnsi="仿宋" w:eastAsia="仿宋"/>
          <w:color w:val="000000"/>
          <w:sz w:val="28"/>
          <w:szCs w:val="28"/>
          <w:u w:val="single"/>
        </w:rPr>
        <w:t xml:space="preserve">、陈女士（18012586956） </w:t>
      </w:r>
      <w:r>
        <w:rPr>
          <w:rFonts w:hint="eastAsia" w:ascii="仿宋" w:hAnsi="仿宋" w:eastAsia="仿宋"/>
          <w:color w:val="000000"/>
          <w:sz w:val="28"/>
          <w:szCs w:val="28"/>
        </w:rPr>
        <w:t>。</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招租人不接受逾期提交的竞租文件。</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八、招租人自</w:t>
      </w:r>
      <w:r>
        <w:rPr>
          <w:rFonts w:hint="eastAsia" w:ascii="仿宋" w:hAnsi="仿宋" w:eastAsia="仿宋"/>
          <w:color w:val="000000"/>
          <w:sz w:val="28"/>
          <w:szCs w:val="28"/>
          <w:highlight w:val="yellow"/>
        </w:rPr>
        <w:t>2024年</w:t>
      </w:r>
      <w:r>
        <w:rPr>
          <w:rFonts w:hint="eastAsia" w:ascii="仿宋" w:hAnsi="仿宋" w:eastAsia="仿宋"/>
          <w:color w:val="000000"/>
          <w:sz w:val="28"/>
          <w:szCs w:val="28"/>
          <w:highlight w:val="yellow"/>
          <w:u w:val="single"/>
        </w:rPr>
        <w:t xml:space="preserve"> </w:t>
      </w:r>
      <w:r>
        <w:rPr>
          <w:rFonts w:hint="eastAsia" w:ascii="仿宋" w:hAnsi="仿宋" w:eastAsia="仿宋"/>
          <w:color w:val="000000"/>
          <w:sz w:val="28"/>
          <w:szCs w:val="28"/>
          <w:highlight w:val="yellow"/>
          <w:u w:val="single"/>
          <w:lang w:val="en-US" w:eastAsia="zh-CN"/>
        </w:rPr>
        <w:t>6</w:t>
      </w:r>
      <w:r>
        <w:rPr>
          <w:rFonts w:hint="eastAsia" w:ascii="仿宋" w:hAnsi="仿宋" w:eastAsia="仿宋"/>
          <w:color w:val="000000"/>
          <w:sz w:val="28"/>
          <w:szCs w:val="28"/>
          <w:highlight w:val="yellow"/>
          <w:u w:val="single"/>
        </w:rPr>
        <w:t xml:space="preserve">  </w:t>
      </w:r>
      <w:r>
        <w:rPr>
          <w:rFonts w:hint="eastAsia" w:ascii="仿宋" w:hAnsi="仿宋" w:eastAsia="仿宋"/>
          <w:color w:val="000000"/>
          <w:sz w:val="28"/>
          <w:szCs w:val="28"/>
          <w:highlight w:val="yellow"/>
        </w:rPr>
        <w:t>月</w:t>
      </w:r>
      <w:r>
        <w:rPr>
          <w:rFonts w:hint="eastAsia" w:ascii="仿宋" w:hAnsi="仿宋" w:eastAsia="仿宋"/>
          <w:color w:val="000000"/>
          <w:sz w:val="28"/>
          <w:szCs w:val="28"/>
          <w:highlight w:val="yellow"/>
          <w:u w:val="single"/>
        </w:rPr>
        <w:t xml:space="preserve"> </w:t>
      </w:r>
      <w:r>
        <w:rPr>
          <w:rFonts w:hint="eastAsia" w:ascii="仿宋" w:hAnsi="仿宋" w:eastAsia="仿宋"/>
          <w:color w:val="000000"/>
          <w:sz w:val="28"/>
          <w:szCs w:val="28"/>
          <w:highlight w:val="yellow"/>
          <w:u w:val="single"/>
          <w:lang w:val="en-US" w:eastAsia="zh-CN"/>
        </w:rPr>
        <w:t>27</w:t>
      </w:r>
      <w:r>
        <w:rPr>
          <w:rFonts w:hint="eastAsia" w:ascii="仿宋" w:hAnsi="仿宋" w:eastAsia="仿宋"/>
          <w:color w:val="000000"/>
          <w:sz w:val="28"/>
          <w:szCs w:val="28"/>
          <w:highlight w:val="yellow"/>
          <w:u w:val="single"/>
        </w:rPr>
        <w:t xml:space="preserve">  </w:t>
      </w:r>
      <w:r>
        <w:rPr>
          <w:rFonts w:hint="eastAsia" w:ascii="仿宋" w:hAnsi="仿宋" w:eastAsia="仿宋"/>
          <w:color w:val="000000"/>
          <w:sz w:val="28"/>
          <w:szCs w:val="28"/>
          <w:highlight w:val="yellow"/>
        </w:rPr>
        <w:t>日</w:t>
      </w:r>
      <w:r>
        <w:rPr>
          <w:rFonts w:hint="eastAsia" w:ascii="仿宋" w:hAnsi="仿宋" w:eastAsia="仿宋"/>
          <w:color w:val="000000"/>
          <w:sz w:val="28"/>
          <w:szCs w:val="28"/>
        </w:rPr>
        <w:t>18：30开始招租评审工作，评审地点在新滩盐场西二楼会议室。</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九</w:t>
      </w:r>
      <w:r>
        <w:rPr>
          <w:rFonts w:hint="eastAsia" w:ascii="仿宋" w:hAnsi="仿宋" w:eastAsia="仿宋"/>
          <w:color w:val="000000"/>
          <w:sz w:val="28"/>
          <w:szCs w:val="28"/>
        </w:rPr>
        <w:t>、</w:t>
      </w:r>
      <w:r>
        <w:rPr>
          <w:rFonts w:ascii="仿宋" w:hAnsi="仿宋" w:eastAsia="仿宋"/>
          <w:color w:val="000000"/>
          <w:sz w:val="28"/>
          <w:szCs w:val="28"/>
        </w:rPr>
        <w:t>本次池塘竞租的全套招租文件</w:t>
      </w:r>
      <w:r>
        <w:rPr>
          <w:rFonts w:hint="eastAsia" w:ascii="仿宋" w:hAnsi="仿宋" w:eastAsia="仿宋"/>
          <w:color w:val="000000"/>
          <w:sz w:val="28"/>
          <w:szCs w:val="28"/>
        </w:rPr>
        <w:t>、</w:t>
      </w:r>
      <w:r>
        <w:rPr>
          <w:rFonts w:ascii="仿宋" w:hAnsi="仿宋" w:eastAsia="仿宋"/>
          <w:color w:val="000000"/>
          <w:sz w:val="28"/>
          <w:szCs w:val="28"/>
        </w:rPr>
        <w:t>竞租</w:t>
      </w:r>
      <w:r>
        <w:rPr>
          <w:rFonts w:hint="eastAsia" w:ascii="仿宋" w:hAnsi="仿宋" w:eastAsia="仿宋"/>
          <w:color w:val="000000"/>
          <w:sz w:val="28"/>
          <w:szCs w:val="28"/>
        </w:rPr>
        <w:t>材料参考格式（含所有附件附件）</w:t>
      </w:r>
      <w:r>
        <w:rPr>
          <w:rFonts w:ascii="仿宋" w:hAnsi="仿宋" w:eastAsia="仿宋"/>
          <w:color w:val="000000"/>
          <w:sz w:val="28"/>
          <w:szCs w:val="28"/>
        </w:rPr>
        <w:t>和信息</w:t>
      </w:r>
      <w:r>
        <w:rPr>
          <w:rFonts w:hint="eastAsia" w:ascii="仿宋" w:hAnsi="仿宋" w:eastAsia="仿宋"/>
          <w:color w:val="000000"/>
          <w:sz w:val="28"/>
          <w:szCs w:val="28"/>
        </w:rPr>
        <w:t>，</w:t>
      </w:r>
      <w:r>
        <w:rPr>
          <w:rFonts w:ascii="仿宋" w:hAnsi="仿宋" w:eastAsia="仿宋"/>
          <w:color w:val="000000"/>
          <w:sz w:val="28"/>
          <w:szCs w:val="28"/>
        </w:rPr>
        <w:t>请竞租人查阅</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highlight w:val="yellow"/>
          <w:u w:val="single"/>
        </w:rPr>
        <w:t xml:space="preserve">盐城市海兴集团有限公司 </w:t>
      </w:r>
      <w:r>
        <w:rPr>
          <w:rFonts w:hint="eastAsia" w:ascii="仿宋" w:hAnsi="仿宋" w:eastAsia="仿宋"/>
          <w:color w:val="000000"/>
          <w:sz w:val="28"/>
          <w:szCs w:val="28"/>
          <w:highlight w:val="yellow"/>
        </w:rPr>
        <w:t>网站（网址为</w:t>
      </w:r>
      <w:r>
        <w:rPr>
          <w:rFonts w:hint="eastAsia" w:ascii="仿宋" w:hAnsi="仿宋" w:eastAsia="仿宋"/>
          <w:color w:val="000000"/>
          <w:sz w:val="28"/>
          <w:szCs w:val="28"/>
          <w:highlight w:val="yellow"/>
          <w:u w:val="single"/>
        </w:rPr>
        <w:t xml:space="preserve"> </w:t>
      </w:r>
      <w:r>
        <w:rPr>
          <w:rFonts w:ascii="仿宋" w:hAnsi="仿宋" w:eastAsia="仿宋"/>
          <w:color w:val="000000"/>
          <w:sz w:val="28"/>
          <w:szCs w:val="28"/>
          <w:highlight w:val="yellow"/>
          <w:u w:val="single"/>
        </w:rPr>
        <w:t>http://ychxjt.com.cn/</w:t>
      </w:r>
      <w:r>
        <w:rPr>
          <w:rFonts w:hint="eastAsia" w:ascii="仿宋" w:hAnsi="仿宋" w:eastAsia="仿宋"/>
          <w:color w:val="000000"/>
          <w:sz w:val="28"/>
          <w:szCs w:val="28"/>
          <w:highlight w:val="yellow"/>
          <w:u w:val="single"/>
        </w:rPr>
        <w:t xml:space="preserve"> </w:t>
      </w:r>
      <w:r>
        <w:rPr>
          <w:rFonts w:hint="eastAsia" w:ascii="仿宋" w:hAnsi="仿宋" w:eastAsia="仿宋"/>
          <w:color w:val="000000"/>
          <w:sz w:val="28"/>
          <w:szCs w:val="28"/>
          <w:highlight w:val="yellow"/>
        </w:rPr>
        <w:t>）</w:t>
      </w:r>
      <w:r>
        <w:rPr>
          <w:rFonts w:hint="eastAsia" w:ascii="仿宋" w:hAnsi="仿宋" w:eastAsia="仿宋"/>
          <w:color w:val="000000"/>
          <w:sz w:val="28"/>
          <w:szCs w:val="28"/>
        </w:rPr>
        <w:t>。</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十、特别提示：</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（1）【禁止挂靠】竞租人不得存在借用他人名义进行挂靠竞租情形，否则一经发现，取消其中标资格。</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禁止转租】竞租人中标后，必须自行组织生产，未经招租人书面同意不得转租或分租，且不得以任何理由与此前曾积欠招租人租金的单位或个人、或曾占用招租人养殖池塘或土地的单位或个人、或与招租人存在未决的争议纠纷的单位或个人进行任何形式的合作，否则一经发现，招租人有权解除合同，并承担合同约定的违约责任。</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（3）【综合评审】按照竞租文件规定的“综合评分法”进行评审，不仅需要评审竞租人的报价，还要评审竞租人的养殖实践、经验、信用以及担保等方面。</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异议事项】本次招租公示期内，竞租人或其代理人就本次评审结果提出异议的，只能查阅该竞租人本人的得分等信息，招租人不提供其他竞租人的相关信息。竞租人之外的人员对本次评审结果提出异议的、或公示期届满后竞租人或其代理人提出异议的，招租人将不予受理。</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弃标差价赔偿】本次招租中，如果排名在先的中标候选人放弃中标资格、招租人依次通知排名在后的中标候选人签署合同的，对于减少的中标价的差额，由弃标的中标候选人负责赔偿给招租人。如果中标候选人放弃中标结果、招租人决定重新组织招租的，对于招租人重新组织招租所支付的所有相关费用以及在重新招租中的中标价低于本次弃标人中标价的差额，由弃标的中标人负责赔偿给招租人。弃标人的赔偿金额概不受租赁合同价、招租人最终实际收取的租金金额的影响。</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中标候选人弃标的，招租人有权不再退还投标保证金。</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不受欢迎的竞租人名单】自本次招租开始，如竞租人存在下列情形之一的，将被招租人列入“不受欢迎的竞租人名单”，在招租人本次招租和以后组织的所有招标、竞租活动中，该竞租人的投标、竞租资料将不被接受、不予评审：①在灌东盐场或新滩盐场组织的池塘（含水库）或土地的竞租过程中，经评审组认定竞租人存在故意提供虚假材料参加竞租的；②竞租人到招租人或盐城市新滩盐场实业发展有限公司（含滨海新昇水产养殖有限公司）吵闹、谩骂、纠缠、威胁、贿赂招租人的工作人员或评审组成员的；③在招租人或盐城市新滩盐场实业发展有限公司（含滨海新昇水产养殖有限公司）组织的池塘（含水库）或土地的竞租过程中，竞租人本人或指使他人向招租人或相关上级单位投诉、举报、信访其他竞租人、盐场工作人员或评审组成员的，但经查实该投诉、举报、信访事项不成立的；④竞租人在与招租人或盐城市新滩盐场实业发展有限公司（含滨海新昇水产养殖有限公司）的诉讼、仲裁过程中被法律文书认定存在违约行为或侵权行为的；⑤竞租人实施的其他严重扰乱竞租秩序、养殖生产秩序的行为。</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合作限制】中标人必须自行组织生产，未经招租人书面同意不得转租或分租，且不得以任何理由与此前曾积欠招租人租金的单位或个人、或曾占用招租人养殖池塘或土地的单位或个人、或与招租人存在未决的争议纠纷的单位或个人进行包括转租、分租、合伙经营、委托管理、聘用等形式的合作，否则一经发现，招租人有权解除合同，中标人须承担合同约定的违约责任。</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中标人不得与被招租人列入“不受欢迎的竞租人名单”中的单位或人员进行包括转租、分租、合伙经营、委托管理、聘用等形式的合作，否则一经发现，招租人有权解除租赁合同，中标人须承担合同约定的违约责任。</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十一、所有招租文件的最终解释权归招租人享有。如果招租事项发生变化的，招租人将通过上述网站及时公告。</w:t>
      </w:r>
    </w:p>
    <w:p>
      <w:pPr>
        <w:spacing w:line="520" w:lineRule="exact"/>
        <w:ind w:firstLine="565" w:firstLineChars="202"/>
        <w:rPr>
          <w:rFonts w:ascii="仿宋" w:hAnsi="仿宋" w:eastAsia="仿宋"/>
          <w:color w:val="000000"/>
          <w:sz w:val="28"/>
          <w:szCs w:val="28"/>
        </w:rPr>
      </w:pPr>
    </w:p>
    <w:p>
      <w:pPr>
        <w:spacing w:line="520" w:lineRule="exact"/>
        <w:ind w:firstLine="565" w:firstLineChars="202"/>
        <w:rPr>
          <w:rFonts w:ascii="仿宋" w:hAnsi="仿宋" w:eastAsia="仿宋"/>
          <w:color w:val="000000"/>
          <w:sz w:val="28"/>
          <w:szCs w:val="28"/>
        </w:rPr>
      </w:pPr>
    </w:p>
    <w:p>
      <w:pPr>
        <w:spacing w:line="520" w:lineRule="exact"/>
        <w:ind w:firstLine="3365" w:firstLineChars="1202"/>
        <w:rPr>
          <w:rFonts w:ascii="仿宋" w:hAnsi="仿宋" w:eastAsia="仿宋"/>
          <w:color w:val="000000"/>
          <w:sz w:val="28"/>
          <w:szCs w:val="28"/>
        </w:rPr>
      </w:pPr>
      <w:r>
        <w:rPr>
          <w:rFonts w:hint="eastAsia" w:ascii="仿宋" w:hAnsi="仿宋" w:eastAsia="仿宋"/>
          <w:color w:val="000000"/>
          <w:sz w:val="28"/>
          <w:szCs w:val="28"/>
        </w:rPr>
        <w:t>招租人：盐城市新滩盐场实业发展有限公司</w:t>
      </w:r>
    </w:p>
    <w:p>
      <w:pPr>
        <w:spacing w:line="520" w:lineRule="exact"/>
        <w:ind w:firstLine="4796" w:firstLineChars="1713"/>
        <w:rPr>
          <w:rFonts w:ascii="仿宋" w:hAnsi="仿宋" w:eastAsia="仿宋"/>
          <w:color w:val="000000"/>
          <w:sz w:val="28"/>
          <w:szCs w:val="28"/>
        </w:rPr>
      </w:pPr>
      <w:r>
        <w:rPr>
          <w:rFonts w:hint="eastAsia" w:ascii="仿宋" w:hAnsi="仿宋" w:eastAsia="仿宋"/>
          <w:color w:val="000000"/>
          <w:sz w:val="28"/>
          <w:szCs w:val="28"/>
        </w:rPr>
        <w:t>2024年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6</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24</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日 </w:t>
      </w:r>
    </w:p>
    <w:p>
      <w:pPr>
        <w:spacing w:line="540" w:lineRule="exact"/>
        <w:jc w:val="center"/>
        <w:rPr>
          <w:rFonts w:ascii="仿宋" w:hAnsi="仿宋" w:eastAsia="仿宋"/>
          <w:color w:val="000000"/>
          <w:sz w:val="28"/>
          <w:szCs w:val="28"/>
        </w:rPr>
      </w:pPr>
    </w:p>
    <w:p>
      <w:pPr>
        <w:spacing w:line="720" w:lineRule="auto"/>
        <w:jc w:val="center"/>
        <w:rPr>
          <w:rFonts w:ascii="宋体" w:hAnsi="宋体"/>
          <w:b/>
          <w:color w:val="000000"/>
          <w:sz w:val="32"/>
          <w:szCs w:val="32"/>
        </w:rPr>
      </w:pPr>
    </w:p>
    <w:p>
      <w:pPr>
        <w:spacing w:line="720" w:lineRule="auto"/>
        <w:jc w:val="center"/>
        <w:rPr>
          <w:rFonts w:ascii="宋体" w:hAnsi="宋体"/>
          <w:b/>
          <w:color w:val="000000"/>
          <w:sz w:val="32"/>
          <w:szCs w:val="32"/>
        </w:rPr>
      </w:pPr>
    </w:p>
    <w:p>
      <w:pPr>
        <w:spacing w:line="720" w:lineRule="auto"/>
        <w:jc w:val="center"/>
        <w:rPr>
          <w:rFonts w:ascii="宋体" w:hAnsi="宋体"/>
          <w:b/>
          <w:color w:val="000000"/>
          <w:sz w:val="32"/>
          <w:szCs w:val="32"/>
        </w:rPr>
      </w:pPr>
      <w:r>
        <w:rPr>
          <w:rFonts w:hint="eastAsia" w:ascii="宋体" w:hAnsi="宋体"/>
          <w:b/>
          <w:color w:val="000000"/>
          <w:sz w:val="32"/>
          <w:szCs w:val="32"/>
        </w:rPr>
        <w:t>第二部分 竞租须知</w:t>
      </w:r>
    </w:p>
    <w:p>
      <w:pPr>
        <w:spacing w:line="520" w:lineRule="exact"/>
        <w:ind w:firstLine="565" w:firstLineChars="202"/>
        <w:rPr>
          <w:rFonts w:ascii="宋体" w:hAnsi="宋体"/>
          <w:color w:val="000000"/>
          <w:sz w:val="28"/>
          <w:szCs w:val="28"/>
        </w:rPr>
      </w:pPr>
      <w:r>
        <w:rPr>
          <w:rFonts w:hint="eastAsia" w:ascii="宋体" w:hAnsi="宋体"/>
          <w:color w:val="000000"/>
          <w:sz w:val="28"/>
          <w:szCs w:val="28"/>
        </w:rPr>
        <w:t>竞租须知主要告知竞租人在竞租过程中应当注意的有关事项。按照企业国有资产的相关规定，结合招租的习惯性做法，竞租须知的内容如下：</w:t>
      </w:r>
    </w:p>
    <w:p>
      <w:pPr>
        <w:spacing w:line="520" w:lineRule="exact"/>
        <w:jc w:val="center"/>
        <w:rPr>
          <w:rFonts w:ascii="仿宋" w:hAnsi="仿宋" w:eastAsia="仿宋"/>
          <w:color w:val="000000"/>
          <w:sz w:val="28"/>
          <w:szCs w:val="28"/>
        </w:rPr>
      </w:pPr>
      <w:r>
        <w:rPr>
          <w:rFonts w:hint="eastAsia" w:ascii="仿宋" w:hAnsi="仿宋" w:eastAsia="仿宋"/>
          <w:b/>
          <w:color w:val="000000"/>
          <w:sz w:val="28"/>
          <w:szCs w:val="28"/>
        </w:rPr>
        <w:t>竞租须知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为保证本次招租活动顺利进行，维护招租人与竞租人的合法权利，招租人盐城市新滩盐场实业发展有限公司对养殖池塘（零星池塘，下统称池塘）遵循公开、公平、公正的原则，依法组织公开竞租活动。</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本次招租按照企业国有资产规定和公开竞租惯例，特作如下告知：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一、竞租人必须按照《2024年度</w:t>
      </w:r>
      <w:r>
        <w:rPr>
          <w:rFonts w:hint="eastAsia" w:ascii="仿宋" w:hAnsi="仿宋" w:eastAsia="仿宋"/>
          <w:sz w:val="28"/>
          <w:szCs w:val="28"/>
        </w:rPr>
        <w:t>第三次</w:t>
      </w:r>
      <w:r>
        <w:rPr>
          <w:rFonts w:hint="eastAsia" w:ascii="仿宋" w:hAnsi="仿宋" w:eastAsia="仿宋"/>
          <w:color w:val="000000"/>
          <w:sz w:val="28"/>
          <w:szCs w:val="28"/>
        </w:rPr>
        <w:t>养殖池塘（零星池塘）公开招租公告》的要求，务必认真查阅《招租池塘情况一览表》中相关池塘的信息和要求，按时足额汇付竞租保证金和预付租金，制作和密封竞租材料、提交竞租材料、指派人员参加等，并了解第三部分招租评审规则。</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对于本次招租的海水养殖池塘，如租期为不超过一年的，承租人不得放养生长周期超过一年的贝类等水产品。</w:t>
      </w:r>
    </w:p>
    <w:p>
      <w:pPr>
        <w:spacing w:line="520" w:lineRule="exact"/>
        <w:ind w:firstLine="565" w:firstLineChars="202"/>
        <w:rPr>
          <w:rFonts w:ascii="仿宋" w:hAnsi="仿宋" w:eastAsia="仿宋"/>
          <w:sz w:val="28"/>
          <w:szCs w:val="28"/>
        </w:rPr>
      </w:pPr>
      <w:r>
        <w:rPr>
          <w:rFonts w:hint="eastAsia" w:ascii="仿宋" w:hAnsi="仿宋" w:eastAsia="仿宋"/>
          <w:color w:val="000000"/>
          <w:sz w:val="28"/>
          <w:szCs w:val="28"/>
        </w:rPr>
        <w:t>特别提示</w:t>
      </w:r>
      <w:r>
        <w:rPr>
          <w:rFonts w:hint="eastAsia" w:ascii="仿宋" w:hAnsi="仿宋" w:eastAsia="仿宋"/>
          <w:sz w:val="28"/>
          <w:szCs w:val="28"/>
        </w:rPr>
        <w:t>：竞租人不得存在借名竞租、挂靠竞租等情形。竞租人中标后，必须自行组织生产，不得擅自转租分租，且不得以任何理由与此前曾积欠招租人（含</w:t>
      </w:r>
      <w:r>
        <w:rPr>
          <w:rFonts w:ascii="仿宋" w:hAnsi="仿宋" w:eastAsia="仿宋"/>
          <w:sz w:val="28"/>
          <w:szCs w:val="28"/>
        </w:rPr>
        <w:t>滨海新昇水产养殖有限公司，下简称新昇公司</w:t>
      </w:r>
      <w:r>
        <w:rPr>
          <w:rFonts w:hint="eastAsia" w:ascii="仿宋" w:hAnsi="仿宋" w:eastAsia="仿宋"/>
          <w:sz w:val="28"/>
          <w:szCs w:val="28"/>
        </w:rPr>
        <w:t>）或灌东盐场租金的单位或个人、或曾占用招租人（含</w:t>
      </w:r>
      <w:r>
        <w:rPr>
          <w:rFonts w:ascii="仿宋" w:hAnsi="仿宋" w:eastAsia="仿宋"/>
          <w:sz w:val="28"/>
          <w:szCs w:val="28"/>
        </w:rPr>
        <w:t>新昇公司</w:t>
      </w:r>
      <w:r>
        <w:rPr>
          <w:rFonts w:hint="eastAsia" w:ascii="仿宋" w:hAnsi="仿宋" w:eastAsia="仿宋"/>
          <w:sz w:val="28"/>
          <w:szCs w:val="28"/>
        </w:rPr>
        <w:t>）或灌东盐场养殖池塘或土地的单位或个人、或与招租人（含</w:t>
      </w:r>
      <w:r>
        <w:rPr>
          <w:rFonts w:ascii="仿宋" w:hAnsi="仿宋" w:eastAsia="仿宋"/>
          <w:sz w:val="28"/>
          <w:szCs w:val="28"/>
        </w:rPr>
        <w:t>新昇公司</w:t>
      </w:r>
      <w:r>
        <w:rPr>
          <w:rFonts w:hint="eastAsia" w:ascii="仿宋" w:hAnsi="仿宋" w:eastAsia="仿宋"/>
          <w:sz w:val="28"/>
          <w:szCs w:val="28"/>
        </w:rPr>
        <w:t>）或灌东盐场存在未决的争议纠纷的单位或个人进行任何形式的合作（招租人书面同意的除外）。</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本次招租的池塘及其水、电、路等设施是以现状为准进行招租，在本期租赁期间，招租人不再对土地及其设施设备进行修缮或添置等投入。如承租人需对池塘及其设施进行改造或添置的，所有改造费用由承租人自行承担。租期届满或中途因承租人违约而解除合同时，承租人对池塘及其设施设备进行改造或添置而形成的不可移动资产无偿转归招租人所有，招租人不予任何补偿。如因承租人以池塘或设施设备等费用补偿问题为由拒绝或拖延交还到期池塘的，承租人除须向招租人承担租赁合同约定的占用费外，还须向招租人支付惩罚性违约金人民币</w:t>
      </w:r>
      <w:r>
        <w:rPr>
          <w:rFonts w:ascii="仿宋" w:hAnsi="仿宋" w:eastAsia="仿宋"/>
          <w:sz w:val="28"/>
          <w:szCs w:val="28"/>
        </w:rPr>
        <w:t>50</w:t>
      </w:r>
      <w:r>
        <w:rPr>
          <w:rFonts w:hint="eastAsia" w:ascii="仿宋" w:hAnsi="仿宋" w:eastAsia="仿宋"/>
          <w:sz w:val="28"/>
          <w:szCs w:val="28"/>
        </w:rPr>
        <w:t>万元。</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二、由招租人委托的招租评审组就每一标段号池塘逐一进行招租评审，并就每个标段号的池塘以书面报告形式向招租人推荐1-2名中标候选人进行公布，由招租人确定中标人。</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对于得分相同的多名竞租人视为同一层次竞租人，但该池塘的原承租人在同等条件下享有优先承租权。如果该同一层次的多名竞租人处于第一候选人的，则由评审组对该层次的所有竞租人进行比选（二次评审），比选主要从该层次的竞租人的技术能力、养殖经验、经济实力、履约诚信等方面进行优选。</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就某一标段号池塘，如果仅有一名竞租人参加竞租的且该竞租人及其报价符合评审条件的，则由该竞租人中标。</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w:t>
      </w:r>
      <w:r>
        <w:rPr>
          <w:rFonts w:hint="eastAsia" w:ascii="仿宋" w:hAnsi="仿宋" w:eastAsia="仿宋"/>
          <w:sz w:val="28"/>
          <w:szCs w:val="28"/>
        </w:rPr>
        <w:t>、本次招租过程中，对于竞租人中标池塘数量不再设定限制，竞租人可以多投多中</w:t>
      </w:r>
      <w:r>
        <w:rPr>
          <w:rFonts w:hint="eastAsia" w:ascii="仿宋" w:hAnsi="仿宋" w:eastAsia="仿宋"/>
          <w:color w:val="000000"/>
          <w:sz w:val="28"/>
          <w:szCs w:val="28"/>
        </w:rPr>
        <w:t>。</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由招租人委托的招租评审组进行竞租评审工作，按照公示的规则进行评审，评审组将评审结果以书面形式报告给招租人。招租人依据评审组的中标候选人名单，选定中标人，并通知中标人签订《中标确认书》。</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中标人签署《中标确认书》后，竞租保证金自动转为履约保证金，预付租金自动转为合同租金；履约保证金和租金的不足部分由中标人补足。</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因中标人原因未能与招租人签订《中标确认书》、或因中标人原因逾期签署租赁合同的、或竞租人未能按时补足履约保证金和第一期租金的，视为中标人放弃中标资格，招租人有权依顺序通知第二名中标候选人签署租赁合同，也可以重新招租。</w:t>
      </w:r>
    </w:p>
    <w:p>
      <w:pPr>
        <w:numPr>
          <w:ilvl w:val="0"/>
          <w:numId w:val="1"/>
        </w:num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池塘租金采用“先付后用、一年一结”原则，在当年12月底前结清第二年的租金，以此类推。每年按照365日计算。</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特别提示：【中标人</w:t>
      </w:r>
      <w:r>
        <w:rPr>
          <w:rFonts w:hint="eastAsia" w:ascii="仿宋" w:hAnsi="仿宋" w:eastAsia="仿宋"/>
          <w:color w:val="000000"/>
          <w:sz w:val="28"/>
          <w:szCs w:val="28"/>
        </w:rPr>
        <w:t>放弃中标资格</w:t>
      </w:r>
      <w:r>
        <w:rPr>
          <w:rFonts w:hint="eastAsia" w:ascii="仿宋" w:hAnsi="仿宋" w:eastAsia="仿宋"/>
          <w:sz w:val="28"/>
          <w:szCs w:val="28"/>
        </w:rPr>
        <w:t>须赔偿差价】 本次招租中，如果排名在先的中标候选人放弃中标资格、招租人依次通知排名在后的中标候选人签署合同的，对于减少的中标价的差额，由弃标的中标候选人负责赔偿给招租人。如果</w:t>
      </w:r>
      <w:r>
        <w:rPr>
          <w:rFonts w:ascii="仿宋" w:hAnsi="仿宋" w:eastAsia="仿宋"/>
          <w:sz w:val="28"/>
          <w:szCs w:val="28"/>
        </w:rPr>
        <w:t>中标候选人放弃中标</w:t>
      </w:r>
      <w:r>
        <w:rPr>
          <w:rFonts w:hint="eastAsia" w:ascii="仿宋" w:hAnsi="仿宋" w:eastAsia="仿宋"/>
          <w:sz w:val="28"/>
          <w:szCs w:val="28"/>
        </w:rPr>
        <w:t>资格、</w:t>
      </w:r>
      <w:r>
        <w:rPr>
          <w:rFonts w:ascii="仿宋" w:hAnsi="仿宋" w:eastAsia="仿宋"/>
          <w:sz w:val="28"/>
          <w:szCs w:val="28"/>
        </w:rPr>
        <w:t>招</w:t>
      </w:r>
      <w:r>
        <w:rPr>
          <w:rFonts w:hint="eastAsia" w:ascii="仿宋" w:hAnsi="仿宋" w:eastAsia="仿宋"/>
          <w:sz w:val="28"/>
          <w:szCs w:val="28"/>
        </w:rPr>
        <w:t>租</w:t>
      </w:r>
      <w:r>
        <w:rPr>
          <w:rFonts w:ascii="仿宋" w:hAnsi="仿宋" w:eastAsia="仿宋"/>
          <w:sz w:val="28"/>
          <w:szCs w:val="28"/>
        </w:rPr>
        <w:t>人决定重新组织招</w:t>
      </w:r>
      <w:r>
        <w:rPr>
          <w:rFonts w:hint="eastAsia" w:ascii="仿宋" w:hAnsi="仿宋" w:eastAsia="仿宋"/>
          <w:sz w:val="28"/>
          <w:szCs w:val="28"/>
        </w:rPr>
        <w:t>租</w:t>
      </w:r>
      <w:r>
        <w:rPr>
          <w:rFonts w:ascii="仿宋" w:hAnsi="仿宋" w:eastAsia="仿宋"/>
          <w:sz w:val="28"/>
          <w:szCs w:val="28"/>
        </w:rPr>
        <w:t>的</w:t>
      </w:r>
      <w:r>
        <w:rPr>
          <w:rFonts w:hint="eastAsia" w:ascii="仿宋" w:hAnsi="仿宋" w:eastAsia="仿宋"/>
          <w:sz w:val="28"/>
          <w:szCs w:val="28"/>
        </w:rPr>
        <w:t>，</w:t>
      </w:r>
      <w:r>
        <w:rPr>
          <w:rFonts w:ascii="仿宋" w:hAnsi="仿宋" w:eastAsia="仿宋"/>
          <w:sz w:val="28"/>
          <w:szCs w:val="28"/>
        </w:rPr>
        <w:t>对于招</w:t>
      </w:r>
      <w:r>
        <w:rPr>
          <w:rFonts w:hint="eastAsia" w:ascii="仿宋" w:hAnsi="仿宋" w:eastAsia="仿宋"/>
          <w:sz w:val="28"/>
          <w:szCs w:val="28"/>
        </w:rPr>
        <w:t>租</w:t>
      </w:r>
      <w:r>
        <w:rPr>
          <w:rFonts w:ascii="仿宋" w:hAnsi="仿宋" w:eastAsia="仿宋"/>
          <w:sz w:val="28"/>
          <w:szCs w:val="28"/>
        </w:rPr>
        <w:t>人重新组织招</w:t>
      </w:r>
      <w:r>
        <w:rPr>
          <w:rFonts w:hint="eastAsia" w:ascii="仿宋" w:hAnsi="仿宋" w:eastAsia="仿宋"/>
          <w:sz w:val="28"/>
          <w:szCs w:val="28"/>
        </w:rPr>
        <w:t>租</w:t>
      </w:r>
      <w:r>
        <w:rPr>
          <w:rFonts w:ascii="仿宋" w:hAnsi="仿宋" w:eastAsia="仿宋"/>
          <w:sz w:val="28"/>
          <w:szCs w:val="28"/>
        </w:rPr>
        <w:t>所支付的所有相关费用以及在重新招</w:t>
      </w:r>
      <w:r>
        <w:rPr>
          <w:rFonts w:hint="eastAsia" w:ascii="仿宋" w:hAnsi="仿宋" w:eastAsia="仿宋"/>
          <w:sz w:val="28"/>
          <w:szCs w:val="28"/>
        </w:rPr>
        <w:t>租</w:t>
      </w:r>
      <w:r>
        <w:rPr>
          <w:rFonts w:ascii="仿宋" w:hAnsi="仿宋" w:eastAsia="仿宋"/>
          <w:sz w:val="28"/>
          <w:szCs w:val="28"/>
        </w:rPr>
        <w:t>中的中标价</w:t>
      </w:r>
      <w:r>
        <w:rPr>
          <w:rFonts w:hint="eastAsia" w:ascii="仿宋" w:hAnsi="仿宋" w:eastAsia="仿宋"/>
          <w:sz w:val="28"/>
          <w:szCs w:val="28"/>
        </w:rPr>
        <w:t>低于</w:t>
      </w:r>
      <w:r>
        <w:rPr>
          <w:rFonts w:ascii="仿宋" w:hAnsi="仿宋" w:eastAsia="仿宋"/>
          <w:sz w:val="28"/>
          <w:szCs w:val="28"/>
        </w:rPr>
        <w:t>本次弃标人中标价的差额</w:t>
      </w:r>
      <w:r>
        <w:rPr>
          <w:rFonts w:hint="eastAsia" w:ascii="仿宋" w:hAnsi="仿宋" w:eastAsia="仿宋"/>
          <w:sz w:val="28"/>
          <w:szCs w:val="28"/>
        </w:rPr>
        <w:t>，</w:t>
      </w:r>
      <w:r>
        <w:rPr>
          <w:rFonts w:ascii="仿宋" w:hAnsi="仿宋" w:eastAsia="仿宋"/>
          <w:sz w:val="28"/>
          <w:szCs w:val="28"/>
        </w:rPr>
        <w:t>由弃标的中标人负责</w:t>
      </w:r>
      <w:r>
        <w:rPr>
          <w:rFonts w:hint="eastAsia" w:ascii="仿宋" w:hAnsi="仿宋" w:eastAsia="仿宋"/>
          <w:sz w:val="28"/>
          <w:szCs w:val="28"/>
        </w:rPr>
        <w:t>赔偿</w:t>
      </w:r>
      <w:r>
        <w:rPr>
          <w:rFonts w:ascii="仿宋" w:hAnsi="仿宋" w:eastAsia="仿宋"/>
          <w:sz w:val="28"/>
          <w:szCs w:val="28"/>
        </w:rPr>
        <w:t>给招</w:t>
      </w:r>
      <w:r>
        <w:rPr>
          <w:rFonts w:hint="eastAsia" w:ascii="仿宋" w:hAnsi="仿宋" w:eastAsia="仿宋"/>
          <w:sz w:val="28"/>
          <w:szCs w:val="28"/>
        </w:rPr>
        <w:t>租</w:t>
      </w:r>
      <w:r>
        <w:rPr>
          <w:rFonts w:ascii="仿宋" w:hAnsi="仿宋" w:eastAsia="仿宋"/>
          <w:sz w:val="28"/>
          <w:szCs w:val="28"/>
        </w:rPr>
        <w:t>人</w:t>
      </w:r>
      <w:r>
        <w:rPr>
          <w:rFonts w:hint="eastAsia" w:ascii="仿宋" w:hAnsi="仿宋" w:eastAsia="仿宋"/>
          <w:sz w:val="28"/>
          <w:szCs w:val="28"/>
        </w:rPr>
        <w:t>。</w:t>
      </w:r>
    </w:p>
    <w:p>
      <w:pPr>
        <w:spacing w:line="520" w:lineRule="exact"/>
        <w:ind w:firstLine="565" w:firstLineChars="202"/>
        <w:rPr>
          <w:rFonts w:ascii="仿宋" w:hAnsi="仿宋" w:eastAsia="仿宋"/>
          <w:color w:val="000000"/>
          <w:sz w:val="28"/>
          <w:szCs w:val="28"/>
        </w:rPr>
      </w:pPr>
      <w:r>
        <w:rPr>
          <w:rFonts w:hint="eastAsia" w:ascii="仿宋" w:hAnsi="仿宋" w:eastAsia="仿宋"/>
          <w:sz w:val="28"/>
          <w:szCs w:val="28"/>
        </w:rPr>
        <w:t>中标候选人弃标的，招租人还有权不再退还其投标保证金或履约保证金。</w:t>
      </w:r>
      <w:r>
        <w:rPr>
          <w:rFonts w:hint="eastAsia" w:ascii="仿宋" w:hAnsi="仿宋" w:eastAsia="仿宋"/>
          <w:color w:val="FF0000"/>
          <w:sz w:val="28"/>
          <w:szCs w:val="28"/>
        </w:rPr>
        <w:t xml:space="preserve"> </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七、中标人在签署附件《池塘租赁合同》时，还须签署《养殖生产安全工作责任书》、《盐场海淡水养殖管理规定》和《养殖池塘租赁交接单》等附件。</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八、中标无效的情形</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1.在中标结果公示期内，发现中标人不符合竞租人资格条件的；</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2.中标人与未中标的投标人之间存在恶意串通以压低竞租报价的；</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3.中标人和招租人工作人员恶意串通以谋求中标的；</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4.中标人存在伪造虚假的竞租材料的。</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竞租人可能存在的其他情形不作为认定中标无效的依据。认定中标无效的权利由招租人享有和行使。</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九、本招租文件中所称的“招租人”专指盐城市新滩盐场实业发展有限公司；“发包人”“出租人”是指我国区域范围内的、包括招租人在内的池塘/匡围/水库的发包人或出租人。</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十、其他招租</w:t>
      </w:r>
      <w:r>
        <w:rPr>
          <w:rFonts w:ascii="仿宋" w:hAnsi="仿宋" w:eastAsia="仿宋"/>
          <w:color w:val="000000"/>
          <w:sz w:val="28"/>
          <w:szCs w:val="28"/>
        </w:rPr>
        <w:t>事项</w:t>
      </w:r>
      <w:r>
        <w:rPr>
          <w:rFonts w:hint="eastAsia" w:ascii="仿宋" w:hAnsi="仿宋" w:eastAsia="仿宋"/>
          <w:color w:val="000000"/>
          <w:sz w:val="28"/>
          <w:szCs w:val="28"/>
        </w:rPr>
        <w:t>，详见《2024年度第三次养殖池塘（零星池塘）公开招租公告》。</w:t>
      </w:r>
    </w:p>
    <w:p>
      <w:pPr>
        <w:spacing w:line="520" w:lineRule="exact"/>
        <w:ind w:firstLine="565" w:firstLineChars="202"/>
        <w:rPr>
          <w:rFonts w:ascii="仿宋" w:hAnsi="仿宋" w:eastAsia="仿宋"/>
          <w:color w:val="000000"/>
          <w:sz w:val="28"/>
          <w:szCs w:val="28"/>
        </w:rPr>
      </w:pPr>
    </w:p>
    <w:p>
      <w:pPr>
        <w:spacing w:line="720" w:lineRule="auto"/>
        <w:jc w:val="center"/>
        <w:rPr>
          <w:rFonts w:ascii="宋体" w:hAnsi="宋体"/>
          <w:b/>
          <w:color w:val="000000"/>
          <w:sz w:val="28"/>
          <w:szCs w:val="28"/>
        </w:rPr>
      </w:pPr>
      <w:r>
        <w:rPr>
          <w:rFonts w:hint="eastAsia" w:ascii="宋体" w:hAnsi="宋体"/>
          <w:b/>
          <w:color w:val="000000"/>
          <w:sz w:val="28"/>
          <w:szCs w:val="28"/>
        </w:rPr>
        <w:t>第三部分 竞租评审规则和合同授予</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一、由招租人委托评审人员组建“招租评审组”，按照经公示的评审规则进行评审积分工作。招租评审组现场推选一名负责人，主持评审组工作。</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二、本次招租对竞租人实行资格后审，采用“综合评估法”的评审方法。具体评审因素和分值匹配如下：</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（一）总分及评审原则</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w:t>
      </w:r>
      <w:r>
        <w:rPr>
          <w:rFonts w:ascii="仿宋" w:hAnsi="仿宋" w:eastAsia="仿宋"/>
          <w:color w:val="000000"/>
          <w:sz w:val="28"/>
          <w:szCs w:val="28"/>
        </w:rPr>
        <w:t>本项目评分总分值为100分。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2、对有效竞租报价的竞租材料进行评审：</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①竞租人条件符合招租方案的要求；</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②竞租人的竞租报价不低于招租人的招租底价；</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③竞租人已经足额缴纳《招租池塘情况一览表》中列明的意向竞租池塘的竞租保证金及预付租金。</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（二）评审因素和计分标准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1、报价分(本项得分最高75分)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评标基准价的确定：以有效竞租人的竞租报价算术平均值为评标基准价（若</w:t>
      </w:r>
      <w:r>
        <w:rPr>
          <w:rFonts w:ascii="仿宋" w:hAnsi="仿宋" w:eastAsia="仿宋"/>
          <w:color w:val="000000"/>
          <w:sz w:val="28"/>
          <w:szCs w:val="28"/>
        </w:rPr>
        <w:t>7</w:t>
      </w:r>
      <w:r>
        <w:rPr>
          <w:rFonts w:hint="eastAsia" w:ascii="仿宋" w:hAnsi="仿宋" w:eastAsia="仿宋"/>
          <w:color w:val="000000"/>
          <w:sz w:val="28"/>
          <w:szCs w:val="28"/>
        </w:rPr>
        <w:t>≤有效竞租报价</w:t>
      </w:r>
      <w:r>
        <w:rPr>
          <w:rFonts w:ascii="仿宋" w:hAnsi="仿宋" w:eastAsia="仿宋"/>
          <w:color w:val="000000"/>
          <w:sz w:val="28"/>
          <w:szCs w:val="28"/>
        </w:rPr>
        <w:t xml:space="preserve">&lt;10 </w:t>
      </w:r>
      <w:r>
        <w:rPr>
          <w:rFonts w:hint="eastAsia" w:ascii="仿宋" w:hAnsi="仿宋" w:eastAsia="仿宋"/>
          <w:color w:val="000000"/>
          <w:sz w:val="28"/>
          <w:szCs w:val="28"/>
        </w:rPr>
        <w:t>家时，去掉其中的一个最高价和一个最低价后取算术平均值；若有效竞租文件≥</w:t>
      </w:r>
      <w:r>
        <w:rPr>
          <w:rFonts w:ascii="仿宋" w:hAnsi="仿宋" w:eastAsia="仿宋"/>
          <w:color w:val="000000"/>
          <w:sz w:val="28"/>
          <w:szCs w:val="28"/>
        </w:rPr>
        <w:t xml:space="preserve">10 </w:t>
      </w:r>
      <w:r>
        <w:rPr>
          <w:rFonts w:hint="eastAsia" w:ascii="仿宋" w:hAnsi="仿宋" w:eastAsia="仿宋"/>
          <w:color w:val="000000"/>
          <w:sz w:val="28"/>
          <w:szCs w:val="28"/>
        </w:rPr>
        <w:t>家时，去掉其中的两个最高价和两个最低价后取算术平均值）。</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①有效竞租人的竞租报价与评标基准价相等的，得基本分70分。</w:t>
      </w:r>
      <w:r>
        <w:rPr>
          <w:rFonts w:ascii="仿宋" w:hAnsi="仿宋" w:eastAsia="仿宋"/>
          <w:color w:val="000000"/>
          <w:sz w:val="28"/>
          <w:szCs w:val="28"/>
        </w:rPr>
        <w:t xml:space="preserve">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②有效竞租人的竞租报价高于评标基准价的，每高</w:t>
      </w:r>
      <w:r>
        <w:rPr>
          <w:rFonts w:ascii="仿宋" w:hAnsi="仿宋" w:eastAsia="仿宋"/>
          <w:color w:val="000000"/>
          <w:sz w:val="28"/>
          <w:szCs w:val="28"/>
        </w:rPr>
        <w:t>1%</w:t>
      </w:r>
      <w:r>
        <w:rPr>
          <w:rFonts w:hint="eastAsia" w:ascii="仿宋" w:hAnsi="仿宋" w:eastAsia="仿宋"/>
          <w:color w:val="000000"/>
          <w:sz w:val="28"/>
          <w:szCs w:val="28"/>
        </w:rPr>
        <w:t>，加0.1分，不足</w:t>
      </w:r>
      <w:r>
        <w:rPr>
          <w:rFonts w:ascii="仿宋" w:hAnsi="仿宋" w:eastAsia="仿宋"/>
          <w:color w:val="000000"/>
          <w:sz w:val="28"/>
          <w:szCs w:val="28"/>
        </w:rPr>
        <w:t>1%</w:t>
      </w:r>
      <w:r>
        <w:rPr>
          <w:rFonts w:hint="eastAsia" w:ascii="仿宋" w:hAnsi="仿宋" w:eastAsia="仿宋"/>
          <w:color w:val="000000"/>
          <w:sz w:val="28"/>
          <w:szCs w:val="28"/>
        </w:rPr>
        <w:t xml:space="preserve">，按插入法计算。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③有效竞租人的竞租报价低于评标基准价的，每低</w:t>
      </w:r>
      <w:r>
        <w:rPr>
          <w:rFonts w:ascii="仿宋" w:hAnsi="仿宋" w:eastAsia="仿宋"/>
          <w:color w:val="000000"/>
          <w:sz w:val="28"/>
          <w:szCs w:val="28"/>
        </w:rPr>
        <w:t>1%</w:t>
      </w:r>
      <w:r>
        <w:rPr>
          <w:rFonts w:hint="eastAsia" w:ascii="仿宋" w:hAnsi="仿宋" w:eastAsia="仿宋"/>
          <w:color w:val="000000"/>
          <w:sz w:val="28"/>
          <w:szCs w:val="28"/>
        </w:rPr>
        <w:t>，扣0.1分，不足</w:t>
      </w:r>
      <w:r>
        <w:rPr>
          <w:rFonts w:ascii="仿宋" w:hAnsi="仿宋" w:eastAsia="仿宋"/>
          <w:color w:val="000000"/>
          <w:sz w:val="28"/>
          <w:szCs w:val="28"/>
        </w:rPr>
        <w:t>1%</w:t>
      </w:r>
      <w:r>
        <w:rPr>
          <w:rFonts w:hint="eastAsia" w:ascii="仿宋" w:hAnsi="仿宋" w:eastAsia="仿宋"/>
          <w:color w:val="000000"/>
          <w:sz w:val="28"/>
          <w:szCs w:val="28"/>
        </w:rPr>
        <w:t>，按插入法计算。竞租报价低于竞租底价时，作无效报价处理。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说明：上述的评标基准价不因评标后招竞租当事人质疑、投诉、复议以及其它任何情形而改变（计算错误除外）。</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2、业绩分（本项最高得分15分）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①养殖实践（本分项最高得分10分）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在最近五年内（自2019年1月1日起至2023年12月31日止），投标人具有池塘养殖的业绩的，每满一年加2分（一年按照365日计算；满六个月但不满一年的加1分，不满六个月的不加分），最高加10分（以投标人提供的真实有效合同及其购买饲料、养殖品幼苗、出售养殖产品的凭证等为准；招租人将视情况就上述合同及凭证的真实性与原发包人/出租人进行实地核实。如果竞租人系招租人或灌东盐场的承租人的，只需提供池塘租赁合同的复印件即可，由招租人统一审核）。</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②养殖方案（本分项最高得分5分）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竞租人须提交书面的养殖方案（限1000字以内，方案内容由竞租人自行编写）。评委根据养殖方案的整体思路、技术措施、水产品质量保证、环境保护、安全生产等方面内容是否清晰、客观、真实进行综合评分。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3、信誉分（本项最高得分10分）</w:t>
      </w:r>
    </w:p>
    <w:p>
      <w:pPr>
        <w:spacing w:line="540" w:lineRule="exact"/>
        <w:ind w:firstLine="565" w:firstLineChars="202"/>
        <w:rPr>
          <w:rFonts w:ascii="仿宋" w:hAnsi="仿宋" w:eastAsia="仿宋"/>
          <w:color w:val="000000"/>
          <w:sz w:val="28"/>
          <w:szCs w:val="28"/>
        </w:rPr>
      </w:pPr>
      <w:r>
        <w:rPr>
          <w:rFonts w:hint="eastAsia" w:ascii="仿宋" w:hAnsi="仿宋" w:eastAsia="仿宋"/>
          <w:sz w:val="28"/>
          <w:szCs w:val="28"/>
        </w:rPr>
        <w:t>①竞租人在其提供“养殖实践”栏的租赁合同/承包合同期限内无积欠包括招租人在内的发包人/出租人的承包费（租金、池塘占用费）、无在合同期限届满后仍然占用发包人/出租人池塘（或擅自</w:t>
      </w:r>
      <w:r>
        <w:rPr>
          <w:rFonts w:hint="eastAsia" w:ascii="仿宋" w:hAnsi="仿宋" w:eastAsia="仿宋"/>
          <w:color w:val="000000"/>
          <w:sz w:val="28"/>
          <w:szCs w:val="28"/>
        </w:rPr>
        <w:t>占有池塘、土地的）等违约或侵权行为且未处理完毕的，得8分（按照发包人/出租人出具的书面证明材料原件进行评审。</w:t>
      </w:r>
      <w:r>
        <w:rPr>
          <w:rFonts w:hint="eastAsia" w:ascii="仿宋" w:hAnsi="仿宋" w:eastAsia="仿宋"/>
          <w:sz w:val="28"/>
          <w:szCs w:val="28"/>
        </w:rPr>
        <w:t>如果竞租人系招租人（含</w:t>
      </w:r>
      <w:r>
        <w:rPr>
          <w:rFonts w:ascii="仿宋" w:hAnsi="仿宋" w:eastAsia="仿宋"/>
          <w:sz w:val="28"/>
          <w:szCs w:val="28"/>
        </w:rPr>
        <w:t>新昇公司</w:t>
      </w:r>
      <w:r>
        <w:rPr>
          <w:rFonts w:hint="eastAsia" w:ascii="仿宋" w:hAnsi="仿宋" w:eastAsia="仿宋"/>
          <w:sz w:val="28"/>
          <w:szCs w:val="28"/>
        </w:rPr>
        <w:t>）或灌东盐场的承租人的，无需提供上述书面材料，由招租人统一审查</w:t>
      </w:r>
      <w:r>
        <w:rPr>
          <w:rFonts w:hint="eastAsia" w:ascii="仿宋" w:hAnsi="仿宋" w:eastAsia="仿宋"/>
          <w:color w:val="000000"/>
          <w:sz w:val="28"/>
          <w:szCs w:val="28"/>
        </w:rPr>
        <w:t>）。</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②竞租人能够邀请国有企业、上市公司或公务员作为其《池塘租赁合同》各项义务的担保人、且该担保人出具书面《池塘租赁合同担保书》的，得2分。公务员提供担保的，须提供该公务员的银行个人征信和在职证明（或工作证件的照片）。（详见附件《池塘租赁合同担保书》）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三、评审注意事项</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1、评审组成员（评委）为5人或7人，评审组成员到达评标现场时应在《签到表》上签到以证明其出席。</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2、评审组成员推选一名评标组负责人，主持招租评审组工作，负责评标活动的组织和协调工作。</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3、评审组负责人应组织评标组成员认真研究招租方案。未在招租方案中规定的评审因素、标准或方法，不得作为评审的依据。</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4、评委应记名打分，打分未记名的或未按招租方案规定的评标办法打分的，一律按无效票处理。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评委打分时，以</w:t>
      </w:r>
      <w:r>
        <w:rPr>
          <w:rFonts w:ascii="仿宋" w:hAnsi="仿宋" w:eastAsia="仿宋"/>
          <w:color w:val="000000"/>
          <w:sz w:val="28"/>
          <w:szCs w:val="28"/>
        </w:rPr>
        <w:t>0.</w:t>
      </w:r>
      <w:r>
        <w:rPr>
          <w:rFonts w:hint="eastAsia" w:ascii="仿宋" w:hAnsi="仿宋" w:eastAsia="仿宋"/>
          <w:color w:val="000000"/>
          <w:sz w:val="28"/>
          <w:szCs w:val="28"/>
        </w:rPr>
        <w:t>0</w:t>
      </w:r>
      <w:r>
        <w:rPr>
          <w:rFonts w:ascii="仿宋" w:hAnsi="仿宋" w:eastAsia="仿宋"/>
          <w:color w:val="000000"/>
          <w:sz w:val="28"/>
          <w:szCs w:val="28"/>
        </w:rPr>
        <w:t>1</w:t>
      </w:r>
      <w:r>
        <w:rPr>
          <w:rFonts w:hint="eastAsia" w:ascii="仿宋" w:hAnsi="仿宋" w:eastAsia="仿宋"/>
          <w:color w:val="000000"/>
          <w:sz w:val="28"/>
          <w:szCs w:val="28"/>
        </w:rPr>
        <w:t>分为一个计分单位。各项汇总时，每大项记分保留一位小数（第二位四舍五入）；总得分汇总时保留一位小数（第二位四舍五入）。</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评审过程中，除招租方案另有规定外，如发现竞租文件无相关资料、数据的，经评审组认定，可确定其该项不得分。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如排名第一的中标候选人自行放弃中标、因不可抗力不能履行合同、不按照招租方案要求缴纳履约保证金和租金、或者被查实存在影响中标结果的违法行为等情形，不符合中标条件的，招租人可以按照评审组提交的中标候选人名单排序依次确定其他中标候选人为中标人，也可以重新招租。</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6、在招租过程中发生行贿受贿、请客送礼、扰乱招租活动秩序及其他严重违法违纪行为的，一律取消有关竞租人参与竞租活动的资格；影响评审结果的，应宣布评审结果无效。</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7、评审组在评审中意见不统一并可能影响结果的，请评委各自填写书面意见，并以少数服从多数形成结论。</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四、定标相关事项</w:t>
      </w:r>
    </w:p>
    <w:p>
      <w:pPr>
        <w:spacing w:line="50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由招租人组织的招租评审组就每一标的池塘逐一进行招租，对竞租人在其竞租文件中确认的意向竞租池塘进行报价。招租人选择评审得分较高的1—2名中标候选人进行公示，由得分最高者中标。原承租人享有在同等条件下的优先承租权。</w:t>
      </w:r>
    </w:p>
    <w:p>
      <w:pPr>
        <w:spacing w:line="50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对于得分相同的多名竞租人视为同一层次竞租人，原承租人在同等条件下享有优先承租权。如果该同一层次的多名竞租人处于第一候选人的，则由评审组按照该层次的所有竞租人进行比选（二次评审），比选的依据主要从该层次所有竞租人的技术能力、养殖经验、经济实力、履约诚信等。</w:t>
      </w:r>
    </w:p>
    <w:p>
      <w:pPr>
        <w:spacing w:line="50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3、就某一标段号池塘，如果仅有一名竞租人参加竞租的且该竞租人及其报价符合评审条件的，则由该竞租人中标。</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招租人依据评审组的书面评审报告，确定中标人，并与中标人签订《中标确认书》、《池塘租赁合同》等文件。如因中标人原因未能与招租人签订《中标确认书》、或因中标人原因逾期签署租赁合同的、或竞租人未能按时补足履约保证金和租金的，视为中标人放弃中标资格，招租人有权依顺序通知第二名中标候选人签署租赁合同，也可以重新招租。</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特别提示：【中标人</w:t>
      </w:r>
      <w:r>
        <w:rPr>
          <w:rFonts w:hint="eastAsia" w:ascii="仿宋" w:hAnsi="仿宋" w:eastAsia="仿宋"/>
          <w:color w:val="000000"/>
          <w:sz w:val="28"/>
          <w:szCs w:val="28"/>
        </w:rPr>
        <w:t>放弃中标资格</w:t>
      </w:r>
      <w:r>
        <w:rPr>
          <w:rFonts w:hint="eastAsia" w:ascii="仿宋" w:hAnsi="仿宋" w:eastAsia="仿宋"/>
          <w:sz w:val="28"/>
          <w:szCs w:val="28"/>
        </w:rPr>
        <w:t>须赔偿差价】 本次招租中，如果排名在先的中标候选人放弃中标资格、招租人依次通知排名在后的中标候选人签署合同的，对于减少的中标价的差额，由弃标的中标候选人负责赔偿给招租人。如果</w:t>
      </w:r>
      <w:r>
        <w:rPr>
          <w:rFonts w:ascii="仿宋" w:hAnsi="仿宋" w:eastAsia="仿宋"/>
          <w:sz w:val="28"/>
          <w:szCs w:val="28"/>
        </w:rPr>
        <w:t>中标候选人放弃中标</w:t>
      </w:r>
      <w:r>
        <w:rPr>
          <w:rFonts w:hint="eastAsia" w:ascii="仿宋" w:hAnsi="仿宋" w:eastAsia="仿宋"/>
          <w:sz w:val="28"/>
          <w:szCs w:val="28"/>
        </w:rPr>
        <w:t>资格、</w:t>
      </w:r>
      <w:r>
        <w:rPr>
          <w:rFonts w:ascii="仿宋" w:hAnsi="仿宋" w:eastAsia="仿宋"/>
          <w:sz w:val="28"/>
          <w:szCs w:val="28"/>
        </w:rPr>
        <w:t>招</w:t>
      </w:r>
      <w:r>
        <w:rPr>
          <w:rFonts w:hint="eastAsia" w:ascii="仿宋" w:hAnsi="仿宋" w:eastAsia="仿宋"/>
          <w:sz w:val="28"/>
          <w:szCs w:val="28"/>
        </w:rPr>
        <w:t>租</w:t>
      </w:r>
      <w:r>
        <w:rPr>
          <w:rFonts w:ascii="仿宋" w:hAnsi="仿宋" w:eastAsia="仿宋"/>
          <w:sz w:val="28"/>
          <w:szCs w:val="28"/>
        </w:rPr>
        <w:t>人决定重新组织招</w:t>
      </w:r>
      <w:r>
        <w:rPr>
          <w:rFonts w:hint="eastAsia" w:ascii="仿宋" w:hAnsi="仿宋" w:eastAsia="仿宋"/>
          <w:sz w:val="28"/>
          <w:szCs w:val="28"/>
        </w:rPr>
        <w:t>租</w:t>
      </w:r>
      <w:r>
        <w:rPr>
          <w:rFonts w:ascii="仿宋" w:hAnsi="仿宋" w:eastAsia="仿宋"/>
          <w:sz w:val="28"/>
          <w:szCs w:val="28"/>
        </w:rPr>
        <w:t>的</w:t>
      </w:r>
      <w:r>
        <w:rPr>
          <w:rFonts w:hint="eastAsia" w:ascii="仿宋" w:hAnsi="仿宋" w:eastAsia="仿宋"/>
          <w:sz w:val="28"/>
          <w:szCs w:val="28"/>
        </w:rPr>
        <w:t>，</w:t>
      </w:r>
      <w:r>
        <w:rPr>
          <w:rFonts w:ascii="仿宋" w:hAnsi="仿宋" w:eastAsia="仿宋"/>
          <w:sz w:val="28"/>
          <w:szCs w:val="28"/>
        </w:rPr>
        <w:t>对于招</w:t>
      </w:r>
      <w:r>
        <w:rPr>
          <w:rFonts w:hint="eastAsia" w:ascii="仿宋" w:hAnsi="仿宋" w:eastAsia="仿宋"/>
          <w:sz w:val="28"/>
          <w:szCs w:val="28"/>
        </w:rPr>
        <w:t>租</w:t>
      </w:r>
      <w:r>
        <w:rPr>
          <w:rFonts w:ascii="仿宋" w:hAnsi="仿宋" w:eastAsia="仿宋"/>
          <w:sz w:val="28"/>
          <w:szCs w:val="28"/>
        </w:rPr>
        <w:t>人重新组织招</w:t>
      </w:r>
      <w:r>
        <w:rPr>
          <w:rFonts w:hint="eastAsia" w:ascii="仿宋" w:hAnsi="仿宋" w:eastAsia="仿宋"/>
          <w:sz w:val="28"/>
          <w:szCs w:val="28"/>
        </w:rPr>
        <w:t>租</w:t>
      </w:r>
      <w:r>
        <w:rPr>
          <w:rFonts w:ascii="仿宋" w:hAnsi="仿宋" w:eastAsia="仿宋"/>
          <w:sz w:val="28"/>
          <w:szCs w:val="28"/>
        </w:rPr>
        <w:t>所支付的所有相关费用以及在重新招</w:t>
      </w:r>
      <w:r>
        <w:rPr>
          <w:rFonts w:hint="eastAsia" w:ascii="仿宋" w:hAnsi="仿宋" w:eastAsia="仿宋"/>
          <w:sz w:val="28"/>
          <w:szCs w:val="28"/>
        </w:rPr>
        <w:t>租</w:t>
      </w:r>
      <w:r>
        <w:rPr>
          <w:rFonts w:ascii="仿宋" w:hAnsi="仿宋" w:eastAsia="仿宋"/>
          <w:sz w:val="28"/>
          <w:szCs w:val="28"/>
        </w:rPr>
        <w:t>中的中标价</w:t>
      </w:r>
      <w:r>
        <w:rPr>
          <w:rFonts w:hint="eastAsia" w:ascii="仿宋" w:hAnsi="仿宋" w:eastAsia="仿宋"/>
          <w:sz w:val="28"/>
          <w:szCs w:val="28"/>
        </w:rPr>
        <w:t>低于</w:t>
      </w:r>
      <w:r>
        <w:rPr>
          <w:rFonts w:ascii="仿宋" w:hAnsi="仿宋" w:eastAsia="仿宋"/>
          <w:sz w:val="28"/>
          <w:szCs w:val="28"/>
        </w:rPr>
        <w:t>本次弃标人中标价的差额</w:t>
      </w:r>
      <w:r>
        <w:rPr>
          <w:rFonts w:hint="eastAsia" w:ascii="仿宋" w:hAnsi="仿宋" w:eastAsia="仿宋"/>
          <w:sz w:val="28"/>
          <w:szCs w:val="28"/>
        </w:rPr>
        <w:t>，</w:t>
      </w:r>
      <w:r>
        <w:rPr>
          <w:rFonts w:ascii="仿宋" w:hAnsi="仿宋" w:eastAsia="仿宋"/>
          <w:sz w:val="28"/>
          <w:szCs w:val="28"/>
        </w:rPr>
        <w:t>由弃标的中标人负责</w:t>
      </w:r>
      <w:r>
        <w:rPr>
          <w:rFonts w:hint="eastAsia" w:ascii="仿宋" w:hAnsi="仿宋" w:eastAsia="仿宋"/>
          <w:sz w:val="28"/>
          <w:szCs w:val="28"/>
        </w:rPr>
        <w:t>赔偿</w:t>
      </w:r>
      <w:r>
        <w:rPr>
          <w:rFonts w:ascii="仿宋" w:hAnsi="仿宋" w:eastAsia="仿宋"/>
          <w:sz w:val="28"/>
          <w:szCs w:val="28"/>
        </w:rPr>
        <w:t>给招</w:t>
      </w:r>
      <w:r>
        <w:rPr>
          <w:rFonts w:hint="eastAsia" w:ascii="仿宋" w:hAnsi="仿宋" w:eastAsia="仿宋"/>
          <w:sz w:val="28"/>
          <w:szCs w:val="28"/>
        </w:rPr>
        <w:t>租</w:t>
      </w:r>
      <w:r>
        <w:rPr>
          <w:rFonts w:ascii="仿宋" w:hAnsi="仿宋" w:eastAsia="仿宋"/>
          <w:sz w:val="28"/>
          <w:szCs w:val="28"/>
        </w:rPr>
        <w:t>人</w:t>
      </w:r>
      <w:r>
        <w:rPr>
          <w:rFonts w:hint="eastAsia" w:ascii="仿宋" w:hAnsi="仿宋" w:eastAsia="仿宋"/>
          <w:sz w:val="28"/>
          <w:szCs w:val="28"/>
        </w:rPr>
        <w:t>。</w:t>
      </w:r>
    </w:p>
    <w:p>
      <w:pPr>
        <w:spacing w:line="520" w:lineRule="exact"/>
        <w:ind w:firstLine="565" w:firstLineChars="202"/>
        <w:rPr>
          <w:rFonts w:ascii="仿宋" w:hAnsi="仿宋" w:eastAsia="仿宋"/>
          <w:color w:val="000000"/>
          <w:sz w:val="28"/>
          <w:szCs w:val="28"/>
        </w:rPr>
      </w:pPr>
      <w:r>
        <w:rPr>
          <w:rFonts w:hint="eastAsia" w:ascii="仿宋" w:hAnsi="仿宋" w:eastAsia="仿宋"/>
          <w:sz w:val="28"/>
          <w:szCs w:val="28"/>
        </w:rPr>
        <w:t>中标候选人弃标的，招租人有权不退还其投标保证金或履约保证金。</w:t>
      </w:r>
      <w:r>
        <w:rPr>
          <w:rFonts w:hint="eastAsia" w:ascii="仿宋" w:hAnsi="仿宋" w:eastAsia="仿宋"/>
          <w:color w:val="FF0000"/>
          <w:sz w:val="28"/>
          <w:szCs w:val="28"/>
        </w:rPr>
        <w:t xml:space="preserve"> </w:t>
      </w: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r>
        <w:rPr>
          <w:rFonts w:hint="eastAsia" w:ascii="幼圆" w:hAnsi="宋体" w:eastAsia="幼圆"/>
          <w:b/>
          <w:color w:val="000000"/>
          <w:sz w:val="28"/>
          <w:szCs w:val="28"/>
        </w:rPr>
        <w:t>附件1：中标确认书</w:t>
      </w:r>
    </w:p>
    <w:p>
      <w:pPr>
        <w:spacing w:line="720" w:lineRule="auto"/>
        <w:jc w:val="center"/>
        <w:rPr>
          <w:rFonts w:ascii="宋体" w:hAnsi="宋体"/>
          <w:b/>
          <w:color w:val="000000"/>
          <w:sz w:val="32"/>
          <w:szCs w:val="32"/>
        </w:rPr>
      </w:pPr>
      <w:r>
        <w:rPr>
          <w:rFonts w:hint="eastAsia" w:ascii="宋体" w:hAnsi="宋体"/>
          <w:b/>
          <w:color w:val="000000"/>
          <w:sz w:val="32"/>
          <w:szCs w:val="32"/>
        </w:rPr>
        <w:t>中标确认书</w:t>
      </w:r>
    </w:p>
    <w:p>
      <w:pPr>
        <w:spacing w:line="560" w:lineRule="exact"/>
        <w:ind w:firstLine="565" w:firstLineChars="202"/>
        <w:rPr>
          <w:rFonts w:ascii="宋体" w:hAnsi="宋体"/>
          <w:color w:val="000000"/>
          <w:sz w:val="28"/>
          <w:szCs w:val="28"/>
          <w:u w:val="single"/>
        </w:rPr>
      </w:pPr>
      <w:r>
        <w:rPr>
          <w:rFonts w:hint="eastAsia" w:ascii="宋体" w:hAnsi="宋体"/>
          <w:color w:val="000000"/>
          <w:sz w:val="28"/>
          <w:szCs w:val="28"/>
        </w:rPr>
        <w:t>甲方（招租人）：</w:t>
      </w:r>
      <w:r>
        <w:rPr>
          <w:rFonts w:hint="eastAsia" w:ascii="宋体" w:hAnsi="宋体"/>
          <w:color w:val="000000"/>
          <w:sz w:val="28"/>
          <w:szCs w:val="28"/>
          <w:u w:val="single"/>
        </w:rPr>
        <w:t xml:space="preserve">  盐城市新滩盐场实业发展有限公司  </w:t>
      </w:r>
    </w:p>
    <w:p>
      <w:pPr>
        <w:spacing w:line="560" w:lineRule="exact"/>
        <w:ind w:firstLine="565" w:firstLineChars="202"/>
        <w:rPr>
          <w:rFonts w:ascii="宋体" w:hAnsi="宋体"/>
          <w:color w:val="000000"/>
          <w:sz w:val="28"/>
          <w:szCs w:val="28"/>
        </w:rPr>
      </w:pPr>
      <w:r>
        <w:rPr>
          <w:rFonts w:hint="eastAsia" w:ascii="宋体" w:hAnsi="宋体"/>
          <w:color w:val="000000"/>
          <w:sz w:val="28"/>
          <w:szCs w:val="28"/>
        </w:rPr>
        <w:t>乙方（中标人）：</w:t>
      </w:r>
      <w:r>
        <w:rPr>
          <w:rFonts w:hint="eastAsia" w:ascii="宋体" w:hAnsi="宋体"/>
          <w:color w:val="000000"/>
          <w:sz w:val="28"/>
          <w:szCs w:val="28"/>
          <w:u w:val="single"/>
        </w:rPr>
        <w:t xml:space="preserve">                              </w:t>
      </w:r>
      <w:r>
        <w:rPr>
          <w:rFonts w:hint="eastAsia" w:ascii="宋体" w:hAnsi="宋体"/>
          <w:color w:val="000000"/>
          <w:sz w:val="28"/>
          <w:szCs w:val="28"/>
        </w:rPr>
        <w:t xml:space="preserve"> </w:t>
      </w:r>
    </w:p>
    <w:p>
      <w:pPr>
        <w:spacing w:line="240" w:lineRule="exact"/>
        <w:ind w:firstLine="565" w:firstLineChars="202"/>
        <w:rPr>
          <w:rFonts w:ascii="宋体" w:hAnsi="宋体"/>
          <w:color w:val="000000"/>
          <w:sz w:val="28"/>
          <w:szCs w:val="28"/>
        </w:rPr>
      </w:pPr>
    </w:p>
    <w:p>
      <w:pPr>
        <w:spacing w:line="500" w:lineRule="exact"/>
        <w:ind w:firstLine="565" w:firstLineChars="202"/>
        <w:rPr>
          <w:rFonts w:ascii="宋体" w:hAnsi="宋体"/>
          <w:color w:val="000000"/>
          <w:sz w:val="28"/>
          <w:szCs w:val="28"/>
        </w:rPr>
      </w:pPr>
      <w:r>
        <w:rPr>
          <w:rFonts w:hint="eastAsia" w:ascii="宋体" w:hAnsi="宋体"/>
          <w:color w:val="000000"/>
          <w:sz w:val="28"/>
          <w:szCs w:val="28"/>
        </w:rPr>
        <w:t>在甲方组织的2024年度</w:t>
      </w:r>
      <w:r>
        <w:rPr>
          <w:rFonts w:hint="eastAsia" w:ascii="宋体" w:hAnsi="宋体"/>
          <w:sz w:val="28"/>
          <w:szCs w:val="28"/>
        </w:rPr>
        <w:t>第三次养殖</w:t>
      </w:r>
      <w:r>
        <w:rPr>
          <w:rFonts w:hint="eastAsia" w:ascii="宋体" w:hAnsi="宋体"/>
          <w:color w:val="000000"/>
          <w:sz w:val="28"/>
          <w:szCs w:val="28"/>
        </w:rPr>
        <w:t>池塘（零星池塘）公开招租程序中，乙方已被确定为中标人。现将相关事项确认如下：</w:t>
      </w:r>
    </w:p>
    <w:p>
      <w:pPr>
        <w:spacing w:line="500" w:lineRule="exact"/>
        <w:ind w:firstLine="565" w:firstLineChars="202"/>
        <w:rPr>
          <w:rFonts w:ascii="宋体" w:hAnsi="宋体"/>
          <w:color w:val="000000"/>
          <w:sz w:val="28"/>
          <w:szCs w:val="28"/>
        </w:rPr>
      </w:pPr>
      <w:r>
        <w:rPr>
          <w:rFonts w:hint="eastAsia" w:ascii="宋体" w:hAnsi="宋体"/>
          <w:color w:val="000000"/>
          <w:sz w:val="28"/>
          <w:szCs w:val="28"/>
        </w:rPr>
        <w:t>1、乙方竞租成功的池塘为甲方公布的《招租池塘情况一览表》中载明的第</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标段号池塘/水库。</w:t>
      </w:r>
    </w:p>
    <w:p>
      <w:pPr>
        <w:spacing w:line="500" w:lineRule="exact"/>
        <w:ind w:firstLine="565" w:firstLineChars="202"/>
        <w:rPr>
          <w:rFonts w:ascii="宋体" w:hAnsi="宋体"/>
          <w:color w:val="000000"/>
          <w:sz w:val="28"/>
          <w:szCs w:val="28"/>
        </w:rPr>
      </w:pPr>
      <w:r>
        <w:rPr>
          <w:rFonts w:hint="eastAsia" w:ascii="宋体" w:hAnsi="宋体"/>
          <w:color w:val="000000"/>
          <w:sz w:val="28"/>
          <w:szCs w:val="28"/>
        </w:rPr>
        <w:t>2、乙方应缴纳的履约保证金为小写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元；第一期租金为小写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元。合计总金额为小写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元。乙方已缴纳的竞租保证金小写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元自动转入履约保证金，预付租金小写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元自动转入第一期租金，乙方需补足履约保证金</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元、第一期租金</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。上述两项合计人民币大写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元，由乙方自签署本确认书后7日内付清。</w:t>
      </w:r>
    </w:p>
    <w:p>
      <w:pPr>
        <w:spacing w:line="500" w:lineRule="exact"/>
        <w:ind w:firstLine="565" w:firstLineChars="202"/>
        <w:rPr>
          <w:rFonts w:ascii="宋体" w:hAnsi="宋体"/>
          <w:color w:val="000000"/>
          <w:sz w:val="28"/>
          <w:szCs w:val="28"/>
        </w:rPr>
      </w:pPr>
      <w:r>
        <w:rPr>
          <w:rFonts w:hint="eastAsia" w:ascii="宋体" w:hAnsi="宋体"/>
          <w:color w:val="000000"/>
          <w:sz w:val="28"/>
          <w:szCs w:val="28"/>
        </w:rPr>
        <w:t>3、在乙方交清履约保证金和第一期租金后3日内，乙方须与甲方正式签署此前已公布的《池塘租赁合同》。租赁合同中的权利义务性条款不作实质性调整。</w:t>
      </w:r>
    </w:p>
    <w:p>
      <w:pPr>
        <w:spacing w:line="500" w:lineRule="exact"/>
        <w:ind w:firstLine="565" w:firstLineChars="202"/>
        <w:rPr>
          <w:rFonts w:ascii="宋体" w:hAnsi="宋体"/>
          <w:color w:val="000000"/>
          <w:sz w:val="28"/>
          <w:szCs w:val="28"/>
        </w:rPr>
      </w:pPr>
      <w:r>
        <w:rPr>
          <w:rFonts w:hint="eastAsia" w:ascii="宋体" w:hAnsi="宋体"/>
          <w:color w:val="000000"/>
          <w:sz w:val="28"/>
          <w:szCs w:val="28"/>
        </w:rPr>
        <w:t>4、如中标人未能与招租人签订《中标确认书》、或竞租人未能按时足额缴纳履约保证金和租金的、或逾期签署租赁合同的，招租人有权取消中标人的中标资格，可以通知第二名中标候选人签署《中标确认书》和《池塘租赁合同》，也可以重新招租。</w:t>
      </w:r>
    </w:p>
    <w:p>
      <w:pPr>
        <w:spacing w:line="500" w:lineRule="exact"/>
        <w:ind w:firstLine="565" w:firstLineChars="202"/>
        <w:rPr>
          <w:rFonts w:ascii="宋体" w:hAnsi="宋体"/>
          <w:color w:val="000000"/>
          <w:sz w:val="28"/>
          <w:szCs w:val="28"/>
        </w:rPr>
      </w:pPr>
    </w:p>
    <w:p>
      <w:pPr>
        <w:spacing w:line="500" w:lineRule="exact"/>
        <w:rPr>
          <w:rFonts w:ascii="宋体" w:hAnsi="宋体"/>
          <w:color w:val="000000"/>
          <w:sz w:val="28"/>
          <w:szCs w:val="28"/>
          <w:u w:val="single"/>
        </w:rPr>
      </w:pPr>
      <w:r>
        <w:rPr>
          <w:rFonts w:hint="eastAsia" w:ascii="宋体" w:hAnsi="宋体"/>
          <w:color w:val="000000"/>
          <w:sz w:val="28"/>
          <w:szCs w:val="28"/>
        </w:rPr>
        <w:t>甲方：</w:t>
      </w:r>
      <w:r>
        <w:rPr>
          <w:rFonts w:hint="eastAsia" w:ascii="宋体" w:hAnsi="宋体"/>
          <w:color w:val="000000"/>
          <w:sz w:val="28"/>
          <w:szCs w:val="28"/>
          <w:u w:val="single"/>
        </w:rPr>
        <w:t xml:space="preserve">                       </w:t>
      </w:r>
      <w:r>
        <w:rPr>
          <w:rFonts w:hint="eastAsia" w:ascii="宋体" w:hAnsi="宋体"/>
          <w:color w:val="000000"/>
          <w:sz w:val="28"/>
          <w:szCs w:val="28"/>
        </w:rPr>
        <w:t>代表：</w:t>
      </w:r>
      <w:r>
        <w:rPr>
          <w:rFonts w:hint="eastAsia" w:ascii="宋体" w:hAnsi="宋体"/>
          <w:color w:val="000000"/>
          <w:sz w:val="28"/>
          <w:szCs w:val="28"/>
          <w:u w:val="single"/>
        </w:rPr>
        <w:t xml:space="preserve">                 </w:t>
      </w:r>
    </w:p>
    <w:p>
      <w:pPr>
        <w:spacing w:line="500" w:lineRule="exact"/>
        <w:rPr>
          <w:rFonts w:ascii="宋体" w:hAnsi="宋体"/>
          <w:color w:val="000000"/>
          <w:sz w:val="28"/>
          <w:szCs w:val="28"/>
        </w:rPr>
      </w:pPr>
      <w:r>
        <w:rPr>
          <w:rFonts w:hint="eastAsia" w:ascii="宋体" w:hAnsi="宋体"/>
          <w:color w:val="000000"/>
          <w:sz w:val="28"/>
          <w:szCs w:val="28"/>
        </w:rPr>
        <w:t>乙方：</w:t>
      </w:r>
      <w:r>
        <w:rPr>
          <w:rFonts w:hint="eastAsia" w:ascii="宋体" w:hAnsi="宋体"/>
          <w:color w:val="000000"/>
          <w:sz w:val="28"/>
          <w:szCs w:val="28"/>
          <w:u w:val="single"/>
        </w:rPr>
        <w:t xml:space="preserve">                       </w:t>
      </w:r>
      <w:r>
        <w:rPr>
          <w:rFonts w:hint="eastAsia" w:ascii="宋体" w:hAnsi="宋体"/>
          <w:color w:val="000000"/>
          <w:sz w:val="28"/>
          <w:szCs w:val="28"/>
        </w:rPr>
        <w:t>代表：</w:t>
      </w:r>
      <w:r>
        <w:rPr>
          <w:rFonts w:hint="eastAsia" w:ascii="宋体" w:hAnsi="宋体"/>
          <w:color w:val="000000"/>
          <w:sz w:val="28"/>
          <w:szCs w:val="28"/>
          <w:u w:val="single"/>
        </w:rPr>
        <w:t xml:space="preserve">                 </w:t>
      </w:r>
      <w:r>
        <w:rPr>
          <w:rFonts w:hint="eastAsia" w:ascii="宋体" w:hAnsi="宋体"/>
          <w:color w:val="000000"/>
          <w:sz w:val="28"/>
          <w:szCs w:val="28"/>
        </w:rPr>
        <w:t xml:space="preserve"> </w:t>
      </w:r>
    </w:p>
    <w:p>
      <w:pPr>
        <w:spacing w:line="500" w:lineRule="exact"/>
        <w:rPr>
          <w:rFonts w:ascii="宋体" w:hAnsi="宋体"/>
          <w:color w:val="000000"/>
          <w:sz w:val="28"/>
          <w:szCs w:val="28"/>
        </w:rPr>
      </w:pPr>
      <w:r>
        <w:rPr>
          <w:rFonts w:hint="eastAsia" w:ascii="宋体" w:hAnsi="宋体"/>
          <w:color w:val="000000"/>
          <w:sz w:val="28"/>
          <w:szCs w:val="28"/>
        </w:rPr>
        <w:t xml:space="preserve">签署时间：2024年  月  </w:t>
      </w:r>
      <w:r>
        <w:rPr>
          <w:rFonts w:hint="eastAsia" w:ascii="宋体" w:hAnsi="宋体"/>
          <w:color w:val="000000"/>
          <w:sz w:val="28"/>
          <w:szCs w:val="28"/>
          <w:lang w:val="en-US" w:eastAsia="zh-CN"/>
        </w:rPr>
        <w:t xml:space="preserve"> </w:t>
      </w:r>
      <w:r>
        <w:rPr>
          <w:rFonts w:hint="eastAsia" w:ascii="宋体" w:hAnsi="宋体"/>
          <w:color w:val="000000"/>
          <w:sz w:val="28"/>
          <w:szCs w:val="28"/>
        </w:rPr>
        <w:t>日</w:t>
      </w:r>
    </w:p>
    <w:p>
      <w:pPr>
        <w:spacing w:line="500" w:lineRule="exact"/>
        <w:rPr>
          <w:rFonts w:ascii="幼圆" w:hAnsi="宋体" w:eastAsia="幼圆"/>
          <w:b/>
          <w:color w:val="000000"/>
          <w:sz w:val="28"/>
          <w:szCs w:val="28"/>
        </w:rPr>
        <w:sectPr>
          <w:headerReference r:id="rId3" w:type="default"/>
          <w:footerReference r:id="rId4" w:type="default"/>
          <w:pgSz w:w="11906" w:h="16838"/>
          <w:pgMar w:top="1440" w:right="1274" w:bottom="1440" w:left="1800" w:header="851" w:footer="992" w:gutter="0"/>
          <w:cols w:space="720" w:num="1"/>
          <w:docGrid w:type="lines" w:linePitch="312" w:charSpace="0"/>
        </w:sectPr>
      </w:pPr>
    </w:p>
    <w:p>
      <w:pPr>
        <w:spacing w:line="580" w:lineRule="exact"/>
        <w:rPr>
          <w:rFonts w:ascii="幼圆" w:hAnsi="宋体" w:eastAsia="幼圆"/>
          <w:b/>
          <w:color w:val="000000"/>
          <w:sz w:val="28"/>
          <w:szCs w:val="28"/>
        </w:rPr>
      </w:pPr>
      <w:r>
        <w:rPr>
          <w:rFonts w:hint="eastAsia" w:ascii="幼圆" w:hAnsi="宋体" w:eastAsia="幼圆"/>
          <w:b/>
          <w:color w:val="000000"/>
          <w:sz w:val="28"/>
          <w:szCs w:val="28"/>
        </w:rPr>
        <w:t xml:space="preserve">附件2：招租池塘情况一览表 </w:t>
      </w:r>
    </w:p>
    <w:tbl>
      <w:tblPr>
        <w:tblStyle w:val="10"/>
        <w:tblpPr w:leftFromText="180" w:rightFromText="180" w:vertAnchor="text" w:horzAnchor="page" w:tblpX="1240" w:tblpY="889"/>
        <w:tblOverlap w:val="never"/>
        <w:tblW w:w="14536" w:type="dxa"/>
        <w:tblInd w:w="0" w:type="dxa"/>
        <w:tblLayout w:type="fixed"/>
        <w:tblCellMar>
          <w:top w:w="0" w:type="dxa"/>
          <w:left w:w="108" w:type="dxa"/>
          <w:bottom w:w="0" w:type="dxa"/>
          <w:right w:w="108" w:type="dxa"/>
        </w:tblCellMar>
      </w:tblPr>
      <w:tblGrid>
        <w:gridCol w:w="993"/>
        <w:gridCol w:w="2126"/>
        <w:gridCol w:w="1276"/>
        <w:gridCol w:w="709"/>
        <w:gridCol w:w="1417"/>
        <w:gridCol w:w="1207"/>
        <w:gridCol w:w="1160"/>
        <w:gridCol w:w="1319"/>
        <w:gridCol w:w="1186"/>
        <w:gridCol w:w="1241"/>
        <w:gridCol w:w="1902"/>
      </w:tblGrid>
      <w:tr>
        <w:tblPrEx>
          <w:tblCellMar>
            <w:top w:w="0" w:type="dxa"/>
            <w:left w:w="108" w:type="dxa"/>
            <w:bottom w:w="0" w:type="dxa"/>
            <w:right w:w="108" w:type="dxa"/>
          </w:tblCellMar>
        </w:tblPrEx>
        <w:trPr>
          <w:trHeight w:val="510" w:hRule="atLeast"/>
        </w:trPr>
        <w:tc>
          <w:tcPr>
            <w:tcW w:w="14536" w:type="dxa"/>
            <w:gridSpan w:val="11"/>
            <w:tcBorders>
              <w:top w:val="nil"/>
              <w:left w:val="nil"/>
              <w:bottom w:val="nil"/>
              <w:right w:val="nil"/>
              <w:tl2br w:val="nil"/>
              <w:tr2bl w:val="nil"/>
            </w:tcBorders>
            <w:noWrap/>
            <w:vAlign w:val="center"/>
          </w:tcPr>
          <w:p>
            <w:pPr>
              <w:widowControl/>
              <w:ind w:firstLine="5200" w:firstLineChars="1300"/>
              <w:rPr>
                <w:rFonts w:ascii="宋体" w:hAnsi="宋体" w:cs="宋体"/>
                <w:b/>
                <w:color w:val="000000"/>
                <w:kern w:val="0"/>
                <w:sz w:val="40"/>
                <w:szCs w:val="40"/>
              </w:rPr>
            </w:pPr>
          </w:p>
        </w:tc>
      </w:tr>
      <w:tr>
        <w:tblPrEx>
          <w:tblCellMar>
            <w:top w:w="0" w:type="dxa"/>
            <w:left w:w="108" w:type="dxa"/>
            <w:bottom w:w="0" w:type="dxa"/>
            <w:right w:w="108" w:type="dxa"/>
          </w:tblCellMar>
        </w:tblPrEx>
        <w:trPr>
          <w:trHeight w:val="940" w:hRule="atLeast"/>
        </w:trPr>
        <w:tc>
          <w:tcPr>
            <w:tcW w:w="99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招租池塘标段号</w:t>
            </w:r>
          </w:p>
        </w:tc>
        <w:tc>
          <w:tcPr>
            <w:tcW w:w="212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池塘位置</w:t>
            </w:r>
          </w:p>
        </w:tc>
        <w:tc>
          <w:tcPr>
            <w:tcW w:w="127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租赁面积（亩）</w:t>
            </w:r>
          </w:p>
        </w:tc>
        <w:tc>
          <w:tcPr>
            <w:tcW w:w="70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养殖类型</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本轮租赁</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到期时间</w:t>
            </w:r>
          </w:p>
        </w:tc>
        <w:tc>
          <w:tcPr>
            <w:tcW w:w="120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招租底价（每亩每年人民币元）</w:t>
            </w:r>
          </w:p>
        </w:tc>
        <w:tc>
          <w:tcPr>
            <w:tcW w:w="11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竞租保证金（人民币元）</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预付租金(人民币元)</w:t>
            </w:r>
          </w:p>
        </w:tc>
        <w:tc>
          <w:tcPr>
            <w:tcW w:w="118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竞租人的具体要求（公司、非法人组织、自然人）</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原承租人</w:t>
            </w:r>
          </w:p>
        </w:tc>
        <w:tc>
          <w:tcPr>
            <w:tcW w:w="19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备注</w:t>
            </w:r>
          </w:p>
        </w:tc>
      </w:tr>
      <w:tr>
        <w:tblPrEx>
          <w:tblCellMar>
            <w:top w:w="0" w:type="dxa"/>
            <w:left w:w="108" w:type="dxa"/>
            <w:bottom w:w="0" w:type="dxa"/>
            <w:right w:w="108" w:type="dxa"/>
          </w:tblCellMar>
        </w:tblPrEx>
        <w:trPr>
          <w:trHeight w:val="435" w:hRule="atLeast"/>
        </w:trPr>
        <w:tc>
          <w:tcPr>
            <w:tcW w:w="99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21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玉新西片9、11、67、73、70、74</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174.67</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海水</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2024.12.31</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880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15371</w:t>
            </w:r>
          </w:p>
        </w:tc>
        <w:tc>
          <w:tcPr>
            <w:tcW w:w="13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153709.6</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不限</w:t>
            </w:r>
          </w:p>
        </w:tc>
        <w:tc>
          <w:tcPr>
            <w:tcW w:w="12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郁梅</w:t>
            </w:r>
          </w:p>
        </w:tc>
        <w:tc>
          <w:tcPr>
            <w:tcW w:w="190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kern w:val="0"/>
                <w:sz w:val="18"/>
                <w:szCs w:val="18"/>
              </w:rPr>
            </w:pPr>
            <w:r>
              <w:rPr>
                <w:rFonts w:hint="eastAsia" w:ascii="仿宋" w:hAnsi="仿宋" w:eastAsia="仿宋" w:cs="仿宋"/>
                <w:color w:val="000000"/>
                <w:kern w:val="0"/>
                <w:sz w:val="18"/>
                <w:szCs w:val="18"/>
              </w:rPr>
              <w:t>不得放养生长周期超一年的贝类等水产品</w:t>
            </w:r>
          </w:p>
        </w:tc>
      </w:tr>
      <w:tr>
        <w:tblPrEx>
          <w:tblCellMar>
            <w:top w:w="0" w:type="dxa"/>
            <w:left w:w="108" w:type="dxa"/>
            <w:bottom w:w="0" w:type="dxa"/>
            <w:right w:w="108" w:type="dxa"/>
          </w:tblCellMar>
        </w:tblPrEx>
        <w:trPr>
          <w:trHeight w:val="618" w:hRule="atLeast"/>
        </w:trPr>
        <w:tc>
          <w:tcPr>
            <w:tcW w:w="993" w:type="dxa"/>
            <w:vMerge w:val="restart"/>
            <w:tcBorders>
              <w:top w:val="single" w:color="000000" w:sz="4" w:space="0"/>
              <w:left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212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A.新昇</w:t>
            </w:r>
          </w:p>
        </w:tc>
        <w:tc>
          <w:tcPr>
            <w:tcW w:w="127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530.58</w:t>
            </w:r>
          </w:p>
        </w:tc>
        <w:tc>
          <w:tcPr>
            <w:tcW w:w="70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淡水</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2027.5.31</w:t>
            </w:r>
          </w:p>
        </w:tc>
        <w:tc>
          <w:tcPr>
            <w:tcW w:w="120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1120</w:t>
            </w:r>
          </w:p>
        </w:tc>
        <w:tc>
          <w:tcPr>
            <w:tcW w:w="11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59425</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594250</w:t>
            </w:r>
          </w:p>
        </w:tc>
        <w:tc>
          <w:tcPr>
            <w:tcW w:w="118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不限</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方武之</w:t>
            </w:r>
          </w:p>
        </w:tc>
        <w:tc>
          <w:tcPr>
            <w:tcW w:w="1902"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仿宋" w:hAnsi="仿宋" w:eastAsia="仿宋" w:cs="仿宋"/>
                <w:color w:val="000000"/>
                <w:kern w:val="0"/>
                <w:sz w:val="18"/>
                <w:szCs w:val="18"/>
              </w:rPr>
            </w:pPr>
          </w:p>
        </w:tc>
      </w:tr>
      <w:tr>
        <w:tblPrEx>
          <w:tblCellMar>
            <w:top w:w="0" w:type="dxa"/>
            <w:left w:w="108" w:type="dxa"/>
            <w:bottom w:w="0" w:type="dxa"/>
            <w:right w:w="108" w:type="dxa"/>
          </w:tblCellMar>
        </w:tblPrEx>
        <w:trPr>
          <w:trHeight w:val="664" w:hRule="atLeast"/>
        </w:trPr>
        <w:tc>
          <w:tcPr>
            <w:tcW w:w="993" w:type="dxa"/>
            <w:vMerge w:val="continue"/>
            <w:tcBorders>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sz w:val="24"/>
                <w:szCs w:val="24"/>
              </w:rPr>
            </w:pPr>
          </w:p>
        </w:tc>
        <w:tc>
          <w:tcPr>
            <w:tcW w:w="212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B.大青垛</w:t>
            </w:r>
          </w:p>
        </w:tc>
        <w:tc>
          <w:tcPr>
            <w:tcW w:w="127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100.36</w:t>
            </w:r>
          </w:p>
        </w:tc>
        <w:tc>
          <w:tcPr>
            <w:tcW w:w="70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淡水</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2027.5.31</w:t>
            </w:r>
          </w:p>
        </w:tc>
        <w:tc>
          <w:tcPr>
            <w:tcW w:w="120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1000</w:t>
            </w:r>
          </w:p>
        </w:tc>
        <w:tc>
          <w:tcPr>
            <w:tcW w:w="11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10036</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100360</w:t>
            </w:r>
          </w:p>
        </w:tc>
        <w:tc>
          <w:tcPr>
            <w:tcW w:w="118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不限</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902"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仿宋" w:hAnsi="仿宋" w:eastAsia="仿宋" w:cs="仿宋"/>
                <w:color w:val="000000"/>
                <w:kern w:val="0"/>
                <w:sz w:val="18"/>
                <w:szCs w:val="18"/>
              </w:rPr>
            </w:pPr>
            <w:r>
              <w:rPr>
                <w:rFonts w:ascii="仿宋" w:hAnsi="仿宋" w:eastAsia="仿宋" w:cs="仿宋"/>
                <w:color w:val="000000"/>
                <w:kern w:val="0"/>
                <w:sz w:val="18"/>
                <w:szCs w:val="18"/>
              </w:rPr>
              <w:t>承租人自费改造</w:t>
            </w:r>
          </w:p>
        </w:tc>
      </w:tr>
      <w:tr>
        <w:tblPrEx>
          <w:tblCellMar>
            <w:top w:w="0" w:type="dxa"/>
            <w:left w:w="108" w:type="dxa"/>
            <w:bottom w:w="0" w:type="dxa"/>
            <w:right w:w="108" w:type="dxa"/>
          </w:tblCellMar>
        </w:tblPrEx>
        <w:trPr>
          <w:trHeight w:val="540" w:hRule="atLeast"/>
        </w:trPr>
        <w:tc>
          <w:tcPr>
            <w:tcW w:w="99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212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玉新二组</w:t>
            </w:r>
          </w:p>
        </w:tc>
        <w:tc>
          <w:tcPr>
            <w:tcW w:w="127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18.96</w:t>
            </w:r>
          </w:p>
        </w:tc>
        <w:tc>
          <w:tcPr>
            <w:tcW w:w="70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海水</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2024.12.31</w:t>
            </w:r>
          </w:p>
        </w:tc>
        <w:tc>
          <w:tcPr>
            <w:tcW w:w="120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c>
          <w:tcPr>
            <w:tcW w:w="11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379</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3792</w:t>
            </w:r>
          </w:p>
        </w:tc>
        <w:tc>
          <w:tcPr>
            <w:tcW w:w="118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不限</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902"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仿宋" w:hAnsi="仿宋" w:eastAsia="仿宋" w:cs="仿宋"/>
                <w:color w:val="000000"/>
                <w:kern w:val="0"/>
                <w:sz w:val="18"/>
                <w:szCs w:val="18"/>
              </w:rPr>
            </w:pPr>
            <w:r>
              <w:rPr>
                <w:rFonts w:ascii="仿宋" w:hAnsi="仿宋" w:eastAsia="仿宋" w:cs="仿宋"/>
                <w:color w:val="000000"/>
                <w:kern w:val="0"/>
                <w:sz w:val="18"/>
                <w:szCs w:val="18"/>
              </w:rPr>
              <w:t>承租人自费改造</w:t>
            </w:r>
            <w:r>
              <w:rPr>
                <w:rFonts w:hint="eastAsia" w:ascii="仿宋" w:hAnsi="仿宋" w:eastAsia="仿宋" w:cs="仿宋"/>
                <w:color w:val="000000"/>
                <w:kern w:val="0"/>
                <w:sz w:val="18"/>
                <w:szCs w:val="18"/>
              </w:rPr>
              <w:t>，不得放养生长周期超一年的贝类等水产品</w:t>
            </w:r>
          </w:p>
        </w:tc>
      </w:tr>
      <w:tr>
        <w:tblPrEx>
          <w:tblCellMar>
            <w:top w:w="0" w:type="dxa"/>
            <w:left w:w="108" w:type="dxa"/>
            <w:bottom w:w="0" w:type="dxa"/>
            <w:right w:w="108" w:type="dxa"/>
          </w:tblCellMar>
        </w:tblPrEx>
        <w:trPr>
          <w:trHeight w:val="480" w:hRule="atLeast"/>
        </w:trPr>
        <w:tc>
          <w:tcPr>
            <w:tcW w:w="99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212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玉新四组</w:t>
            </w:r>
          </w:p>
        </w:tc>
        <w:tc>
          <w:tcPr>
            <w:tcW w:w="127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70.52</w:t>
            </w:r>
          </w:p>
        </w:tc>
        <w:tc>
          <w:tcPr>
            <w:tcW w:w="70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海水</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2024.12.31</w:t>
            </w:r>
          </w:p>
        </w:tc>
        <w:tc>
          <w:tcPr>
            <w:tcW w:w="120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c>
          <w:tcPr>
            <w:tcW w:w="11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1410</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14104</w:t>
            </w:r>
          </w:p>
        </w:tc>
        <w:tc>
          <w:tcPr>
            <w:tcW w:w="118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不限</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9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b/>
                <w:bCs/>
                <w:color w:val="000000"/>
                <w:sz w:val="24"/>
                <w:szCs w:val="24"/>
              </w:rPr>
            </w:pPr>
            <w:r>
              <w:rPr>
                <w:rFonts w:ascii="仿宋" w:hAnsi="仿宋" w:eastAsia="仿宋" w:cs="仿宋"/>
                <w:color w:val="000000"/>
                <w:kern w:val="0"/>
                <w:sz w:val="18"/>
                <w:szCs w:val="18"/>
              </w:rPr>
              <w:t>承租人自费改造</w:t>
            </w:r>
            <w:r>
              <w:rPr>
                <w:rFonts w:hint="eastAsia" w:ascii="仿宋" w:hAnsi="仿宋" w:eastAsia="仿宋" w:cs="仿宋"/>
                <w:color w:val="000000"/>
                <w:kern w:val="0"/>
                <w:sz w:val="18"/>
                <w:szCs w:val="18"/>
              </w:rPr>
              <w:t>，不得放养生长周期超一年的贝类等水产品</w:t>
            </w:r>
          </w:p>
        </w:tc>
      </w:tr>
      <w:tr>
        <w:tblPrEx>
          <w:tblCellMar>
            <w:top w:w="0" w:type="dxa"/>
            <w:left w:w="108" w:type="dxa"/>
            <w:bottom w:w="0" w:type="dxa"/>
            <w:right w:w="108" w:type="dxa"/>
          </w:tblCellMar>
        </w:tblPrEx>
        <w:trPr>
          <w:trHeight w:val="490" w:hRule="atLeast"/>
        </w:trPr>
        <w:tc>
          <w:tcPr>
            <w:tcW w:w="99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212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玉新六组</w:t>
            </w:r>
          </w:p>
        </w:tc>
        <w:tc>
          <w:tcPr>
            <w:tcW w:w="127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70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海水</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2024.12.31</w:t>
            </w:r>
          </w:p>
        </w:tc>
        <w:tc>
          <w:tcPr>
            <w:tcW w:w="120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c>
          <w:tcPr>
            <w:tcW w:w="11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2000</w:t>
            </w:r>
          </w:p>
        </w:tc>
        <w:tc>
          <w:tcPr>
            <w:tcW w:w="118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不限</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902"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ascii="仿宋" w:hAnsi="仿宋" w:eastAsia="仿宋" w:cs="仿宋"/>
                <w:b/>
                <w:bCs/>
                <w:color w:val="000000"/>
                <w:sz w:val="24"/>
                <w:szCs w:val="24"/>
              </w:rPr>
            </w:pPr>
            <w:r>
              <w:rPr>
                <w:rFonts w:ascii="仿宋" w:hAnsi="仿宋" w:eastAsia="仿宋" w:cs="仿宋"/>
                <w:color w:val="000000"/>
                <w:kern w:val="0"/>
                <w:sz w:val="18"/>
                <w:szCs w:val="18"/>
              </w:rPr>
              <w:t>承租人自费改造</w:t>
            </w:r>
            <w:r>
              <w:rPr>
                <w:rFonts w:hint="eastAsia" w:ascii="仿宋" w:hAnsi="仿宋" w:eastAsia="仿宋" w:cs="仿宋"/>
                <w:color w:val="000000"/>
                <w:kern w:val="0"/>
                <w:sz w:val="18"/>
                <w:szCs w:val="18"/>
              </w:rPr>
              <w:t>，不得放养生长周期超一年的贝类等水产品</w:t>
            </w:r>
          </w:p>
        </w:tc>
      </w:tr>
      <w:tr>
        <w:tblPrEx>
          <w:tblCellMar>
            <w:top w:w="0" w:type="dxa"/>
            <w:left w:w="108" w:type="dxa"/>
            <w:bottom w:w="0" w:type="dxa"/>
            <w:right w:w="108" w:type="dxa"/>
          </w:tblCellMar>
        </w:tblPrEx>
        <w:trPr>
          <w:trHeight w:val="744" w:hRule="atLeast"/>
        </w:trPr>
        <w:tc>
          <w:tcPr>
            <w:tcW w:w="99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212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新生闸南东侧</w:t>
            </w:r>
          </w:p>
        </w:tc>
        <w:tc>
          <w:tcPr>
            <w:tcW w:w="127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21.92</w:t>
            </w:r>
          </w:p>
        </w:tc>
        <w:tc>
          <w:tcPr>
            <w:tcW w:w="70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海水</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2024.12.31</w:t>
            </w:r>
          </w:p>
        </w:tc>
        <w:tc>
          <w:tcPr>
            <w:tcW w:w="120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c>
          <w:tcPr>
            <w:tcW w:w="11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438</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4384</w:t>
            </w:r>
          </w:p>
        </w:tc>
        <w:tc>
          <w:tcPr>
            <w:tcW w:w="118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不限</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9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textAlignment w:val="center"/>
              <w:rPr>
                <w:rFonts w:ascii="仿宋" w:hAnsi="仿宋" w:eastAsia="仿宋" w:cs="仿宋"/>
                <w:color w:val="000000"/>
                <w:kern w:val="0"/>
                <w:sz w:val="18"/>
                <w:szCs w:val="18"/>
              </w:rPr>
            </w:pPr>
            <w:r>
              <w:rPr>
                <w:rFonts w:ascii="仿宋" w:hAnsi="仿宋" w:eastAsia="仿宋" w:cs="仿宋"/>
                <w:color w:val="000000"/>
                <w:kern w:val="0"/>
                <w:sz w:val="18"/>
                <w:szCs w:val="18"/>
              </w:rPr>
              <w:t>承租人自费改造</w:t>
            </w:r>
            <w:r>
              <w:rPr>
                <w:rFonts w:hint="eastAsia" w:ascii="仿宋" w:hAnsi="仿宋" w:eastAsia="仿宋" w:cs="仿宋"/>
                <w:color w:val="000000"/>
                <w:kern w:val="0"/>
                <w:sz w:val="18"/>
                <w:szCs w:val="18"/>
              </w:rPr>
              <w:t>，不得放养生长周期超一年的贝类等水产品</w:t>
            </w:r>
          </w:p>
        </w:tc>
      </w:tr>
      <w:tr>
        <w:tblPrEx>
          <w:tblCellMar>
            <w:top w:w="0" w:type="dxa"/>
            <w:left w:w="108" w:type="dxa"/>
            <w:bottom w:w="0" w:type="dxa"/>
            <w:right w:w="108" w:type="dxa"/>
          </w:tblCellMar>
        </w:tblPrEx>
        <w:trPr>
          <w:trHeight w:val="744" w:hRule="atLeast"/>
        </w:trPr>
        <w:tc>
          <w:tcPr>
            <w:tcW w:w="99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212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伏堆河东侧中段西侧</w:t>
            </w:r>
          </w:p>
        </w:tc>
        <w:tc>
          <w:tcPr>
            <w:tcW w:w="127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58.89</w:t>
            </w:r>
          </w:p>
        </w:tc>
        <w:tc>
          <w:tcPr>
            <w:tcW w:w="70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海水</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2024.12.31</w:t>
            </w:r>
          </w:p>
        </w:tc>
        <w:tc>
          <w:tcPr>
            <w:tcW w:w="120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c>
          <w:tcPr>
            <w:tcW w:w="11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1178</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11778</w:t>
            </w:r>
          </w:p>
        </w:tc>
        <w:tc>
          <w:tcPr>
            <w:tcW w:w="118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不限</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9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textAlignment w:val="center"/>
              <w:rPr>
                <w:rFonts w:ascii="仿宋" w:hAnsi="仿宋" w:eastAsia="仿宋" w:cs="仿宋"/>
                <w:b/>
                <w:bCs/>
                <w:color w:val="000000"/>
                <w:sz w:val="24"/>
                <w:szCs w:val="24"/>
              </w:rPr>
            </w:pPr>
            <w:r>
              <w:rPr>
                <w:rFonts w:ascii="仿宋" w:hAnsi="仿宋" w:eastAsia="仿宋" w:cs="仿宋"/>
                <w:color w:val="000000"/>
                <w:kern w:val="0"/>
                <w:sz w:val="18"/>
                <w:szCs w:val="18"/>
              </w:rPr>
              <w:t>承租人自费改造</w:t>
            </w:r>
            <w:r>
              <w:rPr>
                <w:rFonts w:hint="eastAsia" w:ascii="仿宋" w:hAnsi="仿宋" w:eastAsia="仿宋" w:cs="仿宋"/>
                <w:color w:val="000000"/>
                <w:kern w:val="0"/>
                <w:sz w:val="18"/>
                <w:szCs w:val="18"/>
              </w:rPr>
              <w:t>，不得放养生长周期超一年的贝类等水产品</w:t>
            </w:r>
          </w:p>
        </w:tc>
      </w:tr>
      <w:tr>
        <w:tblPrEx>
          <w:tblCellMar>
            <w:top w:w="0" w:type="dxa"/>
            <w:left w:w="108" w:type="dxa"/>
            <w:bottom w:w="0" w:type="dxa"/>
            <w:right w:w="108" w:type="dxa"/>
          </w:tblCellMar>
        </w:tblPrEx>
        <w:trPr>
          <w:trHeight w:val="484" w:hRule="atLeast"/>
        </w:trPr>
        <w:tc>
          <w:tcPr>
            <w:tcW w:w="99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212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新滩大桥两侧</w:t>
            </w:r>
          </w:p>
        </w:tc>
        <w:tc>
          <w:tcPr>
            <w:tcW w:w="127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67.95</w:t>
            </w:r>
          </w:p>
        </w:tc>
        <w:tc>
          <w:tcPr>
            <w:tcW w:w="70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海水</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2024.12.31</w:t>
            </w:r>
          </w:p>
        </w:tc>
        <w:tc>
          <w:tcPr>
            <w:tcW w:w="120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c>
          <w:tcPr>
            <w:tcW w:w="11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1359</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13590</w:t>
            </w:r>
          </w:p>
        </w:tc>
        <w:tc>
          <w:tcPr>
            <w:tcW w:w="118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不限</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9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textAlignment w:val="center"/>
              <w:rPr>
                <w:rFonts w:ascii="仿宋" w:hAnsi="仿宋" w:eastAsia="仿宋" w:cs="仿宋"/>
                <w:b/>
                <w:bCs/>
                <w:color w:val="000000"/>
                <w:sz w:val="24"/>
                <w:szCs w:val="24"/>
              </w:rPr>
            </w:pPr>
            <w:r>
              <w:rPr>
                <w:rFonts w:ascii="仿宋" w:hAnsi="仿宋" w:eastAsia="仿宋" w:cs="仿宋"/>
                <w:color w:val="000000"/>
                <w:kern w:val="0"/>
                <w:sz w:val="18"/>
                <w:szCs w:val="18"/>
              </w:rPr>
              <w:t>承租人自费改造</w:t>
            </w:r>
            <w:r>
              <w:rPr>
                <w:rFonts w:hint="eastAsia" w:ascii="仿宋" w:hAnsi="仿宋" w:eastAsia="仿宋" w:cs="仿宋"/>
                <w:color w:val="000000"/>
                <w:kern w:val="0"/>
                <w:sz w:val="18"/>
                <w:szCs w:val="18"/>
              </w:rPr>
              <w:t>，不得放养生长周期超一年的贝类等水产品</w:t>
            </w:r>
          </w:p>
        </w:tc>
      </w:tr>
      <w:tr>
        <w:tblPrEx>
          <w:tblCellMar>
            <w:top w:w="0" w:type="dxa"/>
            <w:left w:w="108" w:type="dxa"/>
            <w:bottom w:w="0" w:type="dxa"/>
            <w:right w:w="108" w:type="dxa"/>
          </w:tblCellMar>
        </w:tblPrEx>
        <w:trPr>
          <w:trHeight w:val="484" w:hRule="atLeast"/>
        </w:trPr>
        <w:tc>
          <w:tcPr>
            <w:tcW w:w="99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212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大框围南北侧</w:t>
            </w:r>
          </w:p>
        </w:tc>
        <w:tc>
          <w:tcPr>
            <w:tcW w:w="127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128.3</w:t>
            </w:r>
          </w:p>
        </w:tc>
        <w:tc>
          <w:tcPr>
            <w:tcW w:w="70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海水</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2024.12.31</w:t>
            </w:r>
          </w:p>
        </w:tc>
        <w:tc>
          <w:tcPr>
            <w:tcW w:w="120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c>
          <w:tcPr>
            <w:tcW w:w="11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2566</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25660</w:t>
            </w:r>
          </w:p>
        </w:tc>
        <w:tc>
          <w:tcPr>
            <w:tcW w:w="118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不限</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9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textAlignment w:val="center"/>
              <w:rPr>
                <w:rFonts w:ascii="仿宋" w:hAnsi="仿宋" w:eastAsia="仿宋" w:cs="仿宋"/>
                <w:color w:val="000000"/>
                <w:kern w:val="0"/>
                <w:sz w:val="18"/>
                <w:szCs w:val="18"/>
              </w:rPr>
            </w:pPr>
            <w:r>
              <w:rPr>
                <w:rFonts w:ascii="仿宋" w:hAnsi="仿宋" w:eastAsia="仿宋" w:cs="仿宋"/>
                <w:color w:val="000000"/>
                <w:kern w:val="0"/>
                <w:sz w:val="18"/>
                <w:szCs w:val="18"/>
              </w:rPr>
              <w:t>承租人自费改造</w:t>
            </w:r>
            <w:r>
              <w:rPr>
                <w:rFonts w:hint="eastAsia" w:ascii="仿宋" w:hAnsi="仿宋" w:eastAsia="仿宋" w:cs="仿宋"/>
                <w:color w:val="000000"/>
                <w:kern w:val="0"/>
                <w:sz w:val="18"/>
                <w:szCs w:val="18"/>
              </w:rPr>
              <w:t>，不得放养生长周期超一年的贝类等水产品</w:t>
            </w:r>
          </w:p>
        </w:tc>
      </w:tr>
      <w:tr>
        <w:tblPrEx>
          <w:tblCellMar>
            <w:top w:w="0" w:type="dxa"/>
            <w:left w:w="108" w:type="dxa"/>
            <w:bottom w:w="0" w:type="dxa"/>
            <w:right w:w="108" w:type="dxa"/>
          </w:tblCellMar>
        </w:tblPrEx>
        <w:trPr>
          <w:trHeight w:val="609" w:hRule="atLeast"/>
        </w:trPr>
        <w:tc>
          <w:tcPr>
            <w:tcW w:w="99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212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跃进二份</w:t>
            </w:r>
          </w:p>
        </w:tc>
        <w:tc>
          <w:tcPr>
            <w:tcW w:w="127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21.87</w:t>
            </w:r>
          </w:p>
        </w:tc>
        <w:tc>
          <w:tcPr>
            <w:tcW w:w="70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淡水</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2024.12.31</w:t>
            </w:r>
          </w:p>
        </w:tc>
        <w:tc>
          <w:tcPr>
            <w:tcW w:w="120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300</w:t>
            </w:r>
          </w:p>
        </w:tc>
        <w:tc>
          <w:tcPr>
            <w:tcW w:w="11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656</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6561</w:t>
            </w:r>
          </w:p>
        </w:tc>
        <w:tc>
          <w:tcPr>
            <w:tcW w:w="118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不限</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9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textAlignment w:val="center"/>
              <w:rPr>
                <w:rFonts w:ascii="仿宋" w:hAnsi="仿宋" w:eastAsia="仿宋" w:cs="仿宋"/>
                <w:color w:val="000000"/>
                <w:kern w:val="0"/>
                <w:sz w:val="18"/>
                <w:szCs w:val="18"/>
              </w:rPr>
            </w:pPr>
            <w:r>
              <w:rPr>
                <w:rFonts w:ascii="仿宋" w:hAnsi="仿宋" w:eastAsia="仿宋" w:cs="仿宋"/>
                <w:color w:val="000000"/>
                <w:kern w:val="0"/>
                <w:sz w:val="18"/>
                <w:szCs w:val="18"/>
              </w:rPr>
              <w:t>承租人自费改造</w:t>
            </w:r>
          </w:p>
        </w:tc>
      </w:tr>
      <w:tr>
        <w:tblPrEx>
          <w:tblCellMar>
            <w:top w:w="0" w:type="dxa"/>
            <w:left w:w="108" w:type="dxa"/>
            <w:bottom w:w="0" w:type="dxa"/>
            <w:right w:w="108" w:type="dxa"/>
          </w:tblCellMar>
        </w:tblPrEx>
        <w:trPr>
          <w:trHeight w:val="679" w:hRule="atLeast"/>
        </w:trPr>
        <w:tc>
          <w:tcPr>
            <w:tcW w:w="99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212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滨响大道北侧</w:t>
            </w:r>
          </w:p>
        </w:tc>
        <w:tc>
          <w:tcPr>
            <w:tcW w:w="127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280.94</w:t>
            </w:r>
          </w:p>
        </w:tc>
        <w:tc>
          <w:tcPr>
            <w:tcW w:w="70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淡水</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2024.12.31</w:t>
            </w:r>
          </w:p>
        </w:tc>
        <w:tc>
          <w:tcPr>
            <w:tcW w:w="120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300</w:t>
            </w:r>
          </w:p>
        </w:tc>
        <w:tc>
          <w:tcPr>
            <w:tcW w:w="11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8428</w:t>
            </w:r>
          </w:p>
        </w:tc>
        <w:tc>
          <w:tcPr>
            <w:tcW w:w="131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84282</w:t>
            </w:r>
          </w:p>
        </w:tc>
        <w:tc>
          <w:tcPr>
            <w:tcW w:w="118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不限</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19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textAlignment w:val="center"/>
              <w:rPr>
                <w:rFonts w:ascii="仿宋" w:hAnsi="仿宋" w:eastAsia="仿宋" w:cs="仿宋"/>
                <w:color w:val="000000"/>
                <w:kern w:val="0"/>
                <w:sz w:val="18"/>
                <w:szCs w:val="18"/>
              </w:rPr>
            </w:pPr>
            <w:r>
              <w:rPr>
                <w:rFonts w:ascii="仿宋" w:hAnsi="仿宋" w:eastAsia="仿宋" w:cs="仿宋"/>
                <w:color w:val="000000"/>
                <w:kern w:val="0"/>
                <w:sz w:val="18"/>
                <w:szCs w:val="18"/>
              </w:rPr>
              <w:t>承租人自费改造</w:t>
            </w:r>
          </w:p>
        </w:tc>
      </w:tr>
    </w:tbl>
    <w:p>
      <w:pPr>
        <w:spacing w:line="580" w:lineRule="exact"/>
        <w:rPr>
          <w:rFonts w:ascii="幼圆" w:hAnsi="宋体" w:eastAsia="幼圆"/>
          <w:b/>
          <w:color w:val="000000"/>
          <w:sz w:val="28"/>
          <w:szCs w:val="28"/>
        </w:rPr>
        <w:sectPr>
          <w:pgSz w:w="16838" w:h="11906" w:orient="landscape"/>
          <w:pgMar w:top="1797" w:right="1440" w:bottom="1276" w:left="1440" w:header="851" w:footer="992" w:gutter="0"/>
          <w:cols w:space="720" w:num="1"/>
          <w:docGrid w:type="linesAndChars" w:linePitch="312" w:charSpace="0"/>
        </w:sectPr>
      </w:pPr>
    </w:p>
    <w:p>
      <w:pPr>
        <w:spacing w:line="580" w:lineRule="exact"/>
        <w:rPr>
          <w:rFonts w:ascii="幼圆" w:hAnsi="宋体" w:eastAsia="幼圆"/>
          <w:b/>
          <w:color w:val="000000"/>
          <w:sz w:val="28"/>
          <w:szCs w:val="28"/>
        </w:rPr>
      </w:pPr>
      <w:r>
        <w:rPr>
          <w:rFonts w:hint="eastAsia" w:ascii="幼圆" w:hAnsi="宋体" w:eastAsia="幼圆"/>
          <w:b/>
          <w:color w:val="000000"/>
          <w:sz w:val="28"/>
          <w:szCs w:val="28"/>
        </w:rPr>
        <w:t xml:space="preserve">附件3：竞租池塘登记表 </w:t>
      </w:r>
    </w:p>
    <w:p>
      <w:pPr>
        <w:spacing w:line="240" w:lineRule="exact"/>
        <w:rPr>
          <w:rFonts w:ascii="华文中宋" w:hAnsi="华文中宋" w:eastAsia="华文中宋"/>
          <w:b/>
          <w:color w:val="000000"/>
          <w:sz w:val="36"/>
          <w:szCs w:val="36"/>
        </w:rPr>
      </w:pPr>
    </w:p>
    <w:p>
      <w:pPr>
        <w:spacing w:line="720" w:lineRule="auto"/>
        <w:jc w:val="center"/>
        <w:rPr>
          <w:rFonts w:ascii="宋体" w:hAnsi="宋体"/>
          <w:b/>
          <w:color w:val="000000"/>
          <w:sz w:val="32"/>
          <w:szCs w:val="32"/>
        </w:rPr>
      </w:pPr>
      <w:r>
        <w:rPr>
          <w:rFonts w:hint="eastAsia" w:ascii="宋体" w:hAnsi="宋体"/>
          <w:b/>
          <w:color w:val="000000"/>
          <w:sz w:val="32"/>
          <w:szCs w:val="32"/>
        </w:rPr>
        <w:t xml:space="preserve">竞租池塘登记表 </w:t>
      </w:r>
      <w:r>
        <w:rPr>
          <w:rFonts w:hint="eastAsia" w:ascii="仿宋" w:hAnsi="仿宋" w:eastAsia="仿宋"/>
          <w:b/>
          <w:color w:val="000000"/>
          <w:sz w:val="28"/>
          <w:szCs w:val="28"/>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竞租人名称/姓名</w:t>
            </w:r>
          </w:p>
        </w:tc>
        <w:tc>
          <w:tcPr>
            <w:tcW w:w="6662" w:type="dxa"/>
            <w:shd w:val="clear" w:color="auto" w:fill="auto"/>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竞租人证件及号码</w:t>
            </w:r>
          </w:p>
        </w:tc>
        <w:tc>
          <w:tcPr>
            <w:tcW w:w="6662" w:type="dxa"/>
            <w:shd w:val="clear" w:color="auto" w:fill="auto"/>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竞租人的声明</w:t>
            </w:r>
          </w:p>
        </w:tc>
        <w:tc>
          <w:tcPr>
            <w:tcW w:w="6662" w:type="dxa"/>
            <w:shd w:val="clear" w:color="auto" w:fill="auto"/>
          </w:tcPr>
          <w:p>
            <w:pPr>
              <w:ind w:firstLine="484" w:firstLineChars="202"/>
              <w:rPr>
                <w:rFonts w:ascii="仿宋" w:hAnsi="仿宋" w:eastAsia="仿宋"/>
                <w:color w:val="000000"/>
                <w:kern w:val="0"/>
                <w:sz w:val="24"/>
                <w:szCs w:val="24"/>
              </w:rPr>
            </w:pPr>
            <w:r>
              <w:rPr>
                <w:rFonts w:hint="eastAsia" w:ascii="仿宋" w:hAnsi="仿宋" w:eastAsia="仿宋"/>
                <w:color w:val="000000"/>
                <w:kern w:val="0"/>
                <w:sz w:val="24"/>
                <w:szCs w:val="24"/>
              </w:rPr>
              <w:t>1、本人已经完全知悉意向竞租池塘的现状，完全理解招租人就本次池塘招租的所有招租文件内容，并完全接受招租文件的所有要求。</w:t>
            </w:r>
          </w:p>
          <w:p>
            <w:pPr>
              <w:ind w:firstLine="484" w:firstLineChars="202"/>
              <w:rPr>
                <w:rFonts w:ascii="仿宋" w:hAnsi="仿宋" w:eastAsia="仿宋"/>
                <w:color w:val="000000"/>
                <w:kern w:val="0"/>
                <w:sz w:val="24"/>
                <w:szCs w:val="24"/>
              </w:rPr>
            </w:pPr>
            <w:r>
              <w:rPr>
                <w:rFonts w:hint="eastAsia" w:ascii="仿宋" w:hAnsi="仿宋" w:eastAsia="仿宋"/>
                <w:color w:val="000000"/>
                <w:kern w:val="0"/>
                <w:sz w:val="24"/>
                <w:szCs w:val="24"/>
              </w:rPr>
              <w:t>2、本人与招租人新滩盐场（含</w:t>
            </w:r>
            <w:r>
              <w:rPr>
                <w:rFonts w:ascii="仿宋" w:hAnsi="仿宋" w:eastAsia="仿宋"/>
                <w:color w:val="000000"/>
                <w:kern w:val="0"/>
                <w:sz w:val="24"/>
                <w:szCs w:val="24"/>
              </w:rPr>
              <w:t>滨海新昇水产养殖有限公司</w:t>
            </w:r>
            <w:r>
              <w:rPr>
                <w:rFonts w:hint="eastAsia" w:ascii="仿宋" w:hAnsi="仿宋" w:eastAsia="仿宋"/>
                <w:color w:val="000000"/>
                <w:kern w:val="0"/>
                <w:sz w:val="24"/>
                <w:szCs w:val="24"/>
              </w:rPr>
              <w:t>）之间的此前所有池塘/水库租赁合同或承包合同的有关争议全部处理完毕，双方之间不再有任何争议和纠纷，且本人承诺不再向招租人（含新昇公司）提出任何主张和要求。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意向竞租池塘</w:t>
            </w:r>
          </w:p>
          <w:p>
            <w:pPr>
              <w:spacing w:line="360" w:lineRule="auto"/>
              <w:rPr>
                <w:rFonts w:ascii="宋体" w:hAnsi="宋体"/>
                <w:b/>
                <w:color w:val="000000"/>
                <w:kern w:val="0"/>
                <w:sz w:val="24"/>
                <w:szCs w:val="24"/>
              </w:rPr>
            </w:pPr>
            <w:r>
              <w:rPr>
                <w:rFonts w:hint="eastAsia" w:ascii="宋体" w:hAnsi="宋体"/>
                <w:b/>
                <w:color w:val="000000"/>
                <w:kern w:val="0"/>
                <w:sz w:val="24"/>
                <w:szCs w:val="24"/>
              </w:rPr>
              <w:t>标段号</w:t>
            </w:r>
          </w:p>
        </w:tc>
        <w:tc>
          <w:tcPr>
            <w:tcW w:w="6662" w:type="dxa"/>
            <w:shd w:val="clear" w:color="auto" w:fill="auto"/>
            <w:vAlign w:val="center"/>
          </w:tcPr>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招租人已公布《招租池塘情况一览表》中载明的招租池塘标段号为第</w:t>
            </w:r>
            <w:r>
              <w:rPr>
                <w:rFonts w:hint="eastAsia" w:ascii="仿宋" w:hAnsi="仿宋" w:eastAsia="仿宋"/>
                <w:color w:val="000000"/>
                <w:kern w:val="0"/>
                <w:sz w:val="28"/>
                <w:szCs w:val="28"/>
                <w:shd w:val="pct10" w:color="auto" w:fill="FFFFFF"/>
              </w:rPr>
              <w:t xml:space="preserve">              </w:t>
            </w:r>
            <w:r>
              <w:rPr>
                <w:rFonts w:hint="eastAsia" w:ascii="仿宋" w:hAnsi="仿宋" w:eastAsia="仿宋"/>
                <w:color w:val="000000"/>
                <w:kern w:val="0"/>
                <w:sz w:val="24"/>
                <w:szCs w:val="24"/>
              </w:rPr>
              <w:t>号池塘。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35" w:type="dxa"/>
            <w:shd w:val="clear" w:color="auto" w:fill="auto"/>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已缴竞租保证金及预付租金</w:t>
            </w:r>
          </w:p>
        </w:tc>
        <w:tc>
          <w:tcPr>
            <w:tcW w:w="6662" w:type="dxa"/>
            <w:shd w:val="clear" w:color="auto" w:fill="auto"/>
            <w:vAlign w:val="center"/>
          </w:tcPr>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竞租保证金人民币小写</w:t>
            </w:r>
            <w:r>
              <w:rPr>
                <w:rFonts w:hint="eastAsia" w:ascii="仿宋" w:hAnsi="仿宋" w:eastAsia="仿宋"/>
                <w:color w:val="000000"/>
                <w:kern w:val="0"/>
                <w:sz w:val="24"/>
                <w:szCs w:val="24"/>
                <w:shd w:val="pct10" w:color="auto" w:fill="FFFFFF"/>
              </w:rPr>
              <w:t xml:space="preserve">                 </w:t>
            </w:r>
            <w:r>
              <w:rPr>
                <w:rFonts w:hint="eastAsia" w:ascii="仿宋" w:hAnsi="仿宋" w:eastAsia="仿宋"/>
                <w:color w:val="000000"/>
                <w:kern w:val="0"/>
                <w:sz w:val="24"/>
                <w:szCs w:val="24"/>
              </w:rPr>
              <w:t xml:space="preserve">元；                         </w:t>
            </w:r>
          </w:p>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预付租金人民币小写</w:t>
            </w:r>
            <w:r>
              <w:rPr>
                <w:rFonts w:hint="eastAsia" w:ascii="仿宋" w:hAnsi="仿宋" w:eastAsia="仿宋"/>
                <w:color w:val="000000"/>
                <w:kern w:val="0"/>
                <w:sz w:val="24"/>
                <w:szCs w:val="24"/>
                <w:shd w:val="pct10" w:color="auto" w:fill="FFFFFF"/>
              </w:rPr>
              <w:t xml:space="preserve">                   </w:t>
            </w:r>
            <w:r>
              <w:rPr>
                <w:rFonts w:hint="eastAsia" w:ascii="仿宋" w:hAnsi="仿宋" w:eastAsia="仿宋"/>
                <w:color w:val="000000"/>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竞租人送达地址</w:t>
            </w:r>
          </w:p>
        </w:tc>
        <w:tc>
          <w:tcPr>
            <w:tcW w:w="6662" w:type="dxa"/>
            <w:shd w:val="clear" w:color="auto" w:fill="auto"/>
            <w:vAlign w:val="center"/>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联系人及电话号码</w:t>
            </w:r>
          </w:p>
        </w:tc>
        <w:tc>
          <w:tcPr>
            <w:tcW w:w="6662" w:type="dxa"/>
            <w:shd w:val="clear" w:color="auto" w:fill="auto"/>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2235" w:type="dxa"/>
            <w:shd w:val="clear" w:color="auto" w:fill="auto"/>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竞租人确认</w:t>
            </w:r>
          </w:p>
        </w:tc>
        <w:tc>
          <w:tcPr>
            <w:tcW w:w="6662" w:type="dxa"/>
            <w:shd w:val="clear" w:color="auto" w:fill="auto"/>
          </w:tcPr>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（竞租人盖章、签名手印）</w:t>
            </w:r>
          </w:p>
          <w:p>
            <w:pPr>
              <w:spacing w:line="360" w:lineRule="auto"/>
              <w:rPr>
                <w:rFonts w:ascii="仿宋" w:hAnsi="仿宋" w:eastAsia="仿宋"/>
                <w:color w:val="000000"/>
                <w:kern w:val="0"/>
                <w:sz w:val="24"/>
                <w:szCs w:val="24"/>
              </w:rPr>
            </w:pPr>
          </w:p>
          <w:p>
            <w:pPr>
              <w:spacing w:line="360" w:lineRule="auto"/>
              <w:rPr>
                <w:rFonts w:ascii="仿宋" w:hAnsi="仿宋" w:eastAsia="仿宋"/>
                <w:color w:val="000000"/>
                <w:kern w:val="0"/>
                <w:sz w:val="24"/>
                <w:szCs w:val="24"/>
              </w:rPr>
            </w:pPr>
          </w:p>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 xml:space="preserve"> </w:t>
            </w:r>
          </w:p>
          <w:p>
            <w:pPr>
              <w:spacing w:line="360" w:lineRule="auto"/>
              <w:jc w:val="right"/>
              <w:rPr>
                <w:rFonts w:ascii="仿宋" w:hAnsi="仿宋" w:eastAsia="仿宋"/>
                <w:b/>
                <w:color w:val="000000"/>
                <w:kern w:val="0"/>
                <w:sz w:val="28"/>
                <w:szCs w:val="28"/>
              </w:rPr>
            </w:pPr>
            <w:r>
              <w:rPr>
                <w:rFonts w:hint="eastAsia" w:ascii="仿宋" w:hAnsi="仿宋" w:eastAsia="仿宋"/>
                <w:color w:val="000000"/>
                <w:kern w:val="0"/>
                <w:sz w:val="24"/>
                <w:szCs w:val="24"/>
              </w:rPr>
              <w:t>2024年   月   日</w:t>
            </w:r>
          </w:p>
        </w:tc>
      </w:tr>
    </w:tbl>
    <w:p>
      <w:pPr>
        <w:rPr>
          <w:rFonts w:ascii="仿宋" w:hAnsi="仿宋" w:eastAsia="仿宋"/>
          <w:b/>
          <w:color w:val="000000"/>
          <w:sz w:val="28"/>
          <w:szCs w:val="28"/>
          <w:u w:val="single"/>
        </w:rPr>
      </w:pPr>
    </w:p>
    <w:p>
      <w:pPr>
        <w:rPr>
          <w:rFonts w:ascii="仿宋" w:hAnsi="仿宋" w:eastAsia="仿宋"/>
          <w:b/>
          <w:color w:val="000000"/>
          <w:sz w:val="28"/>
          <w:szCs w:val="28"/>
          <w:u w:val="single"/>
        </w:rPr>
      </w:pPr>
    </w:p>
    <w:p>
      <w:pPr>
        <w:rPr>
          <w:rFonts w:ascii="仿宋" w:hAnsi="仿宋" w:eastAsia="仿宋"/>
          <w:b/>
          <w:color w:val="000000"/>
          <w:sz w:val="28"/>
          <w:szCs w:val="28"/>
          <w:u w:val="single"/>
        </w:rPr>
      </w:pPr>
    </w:p>
    <w:p>
      <w:pPr>
        <w:rPr>
          <w:rFonts w:ascii="幼圆" w:hAnsi="宋体" w:eastAsia="幼圆"/>
          <w:b/>
          <w:color w:val="000000"/>
          <w:sz w:val="28"/>
          <w:szCs w:val="28"/>
        </w:rPr>
      </w:pPr>
    </w:p>
    <w:p>
      <w:pPr>
        <w:rPr>
          <w:rFonts w:ascii="幼圆" w:hAnsi="宋体" w:eastAsia="幼圆"/>
          <w:b/>
          <w:color w:val="000000"/>
          <w:sz w:val="28"/>
          <w:szCs w:val="28"/>
        </w:rPr>
      </w:pPr>
      <w:r>
        <w:rPr>
          <w:rFonts w:hint="eastAsia" w:ascii="幼圆" w:hAnsi="宋体" w:eastAsia="幼圆"/>
          <w:b/>
          <w:color w:val="000000"/>
          <w:sz w:val="28"/>
          <w:szCs w:val="28"/>
        </w:rPr>
        <w:t>附件4：声明书</w:t>
      </w:r>
    </w:p>
    <w:p>
      <w:pPr>
        <w:spacing w:line="720" w:lineRule="auto"/>
        <w:jc w:val="center"/>
        <w:rPr>
          <w:rFonts w:ascii="宋体" w:hAnsi="宋体"/>
          <w:b/>
          <w:color w:val="000000"/>
          <w:sz w:val="32"/>
          <w:szCs w:val="32"/>
        </w:rPr>
      </w:pPr>
      <w:r>
        <w:rPr>
          <w:rFonts w:hint="eastAsia" w:ascii="宋体" w:hAnsi="宋体"/>
          <w:b/>
          <w:color w:val="000000"/>
          <w:sz w:val="32"/>
          <w:szCs w:val="32"/>
        </w:rPr>
        <w:t>声明书</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在此声明：就此前的本人与盐城市新滩盐场实业发展有限公司（江苏省银宝盐业有限公司新滩盐场、</w:t>
      </w:r>
      <w:r>
        <w:rPr>
          <w:rFonts w:ascii="仿宋" w:hAnsi="仿宋" w:eastAsia="仿宋"/>
          <w:color w:val="000000"/>
          <w:sz w:val="28"/>
          <w:szCs w:val="28"/>
        </w:rPr>
        <w:t>滨海新昇水产养殖有限公司</w:t>
      </w:r>
      <w:r>
        <w:rPr>
          <w:rFonts w:hint="eastAsia" w:ascii="仿宋" w:hAnsi="仿宋" w:eastAsia="仿宋"/>
          <w:color w:val="000000"/>
          <w:sz w:val="28"/>
          <w:szCs w:val="28"/>
        </w:rPr>
        <w:t>）之间的池塘/水库的所有租赁合同或承包合同，本人承诺不再向盐城市新滩盐场实业发展有限公司、江苏省银宝盐业有限公司新滩盐场或</w:t>
      </w:r>
      <w:r>
        <w:rPr>
          <w:rFonts w:ascii="仿宋" w:hAnsi="仿宋" w:eastAsia="仿宋"/>
          <w:color w:val="000000"/>
          <w:sz w:val="28"/>
          <w:szCs w:val="28"/>
        </w:rPr>
        <w:t>滨海新昇水产养殖有限公司</w:t>
      </w:r>
      <w:r>
        <w:rPr>
          <w:rFonts w:hint="eastAsia" w:ascii="仿宋" w:hAnsi="仿宋" w:eastAsia="仿宋"/>
          <w:color w:val="000000"/>
          <w:sz w:val="28"/>
          <w:szCs w:val="28"/>
        </w:rPr>
        <w:t>提出任何主张和要求，本人和盐城市新滩盐场实业发展有限公司、江苏省银宝盐业有限公司新滩盐场或</w:t>
      </w:r>
      <w:r>
        <w:rPr>
          <w:rFonts w:ascii="仿宋" w:hAnsi="仿宋" w:eastAsia="仿宋"/>
          <w:color w:val="000000"/>
          <w:sz w:val="28"/>
          <w:szCs w:val="28"/>
        </w:rPr>
        <w:t>滨海新昇水产养殖有限公司</w:t>
      </w:r>
      <w:r>
        <w:rPr>
          <w:rFonts w:hint="eastAsia" w:ascii="仿宋" w:hAnsi="仿宋" w:eastAsia="仿宋"/>
          <w:color w:val="000000"/>
          <w:sz w:val="28"/>
          <w:szCs w:val="28"/>
        </w:rPr>
        <w:t>之间的所有争议和纠纷全部处理完毕，双方之间不再有任何争议和纠纷。本人将不会就租赁合同或承包合同的相关遗留争议通过诉讼、仲裁或上访信访等形式向盐城市新滩盐场实业发展有限公司、江苏省银宝盐业有限公司新滩盐场或</w:t>
      </w:r>
      <w:r>
        <w:rPr>
          <w:rFonts w:ascii="仿宋" w:hAnsi="仿宋" w:eastAsia="仿宋"/>
          <w:color w:val="000000"/>
          <w:sz w:val="28"/>
          <w:szCs w:val="28"/>
        </w:rPr>
        <w:t>滨海新昇水产养殖有限公司</w:t>
      </w:r>
      <w:r>
        <w:rPr>
          <w:rFonts w:hint="eastAsia" w:ascii="仿宋" w:hAnsi="仿宋" w:eastAsia="仿宋"/>
          <w:color w:val="000000"/>
          <w:sz w:val="28"/>
          <w:szCs w:val="28"/>
        </w:rPr>
        <w:t>提出任何赔偿或补偿要求。</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本人承诺，本声明不得撤销、不得变更、不得违背，声明内容在任何情况下均永久有效。</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特此声明。</w:t>
      </w:r>
    </w:p>
    <w:p>
      <w:pPr>
        <w:spacing w:line="560" w:lineRule="exact"/>
        <w:ind w:firstLine="4393" w:firstLineChars="1569"/>
        <w:rPr>
          <w:rFonts w:ascii="仿宋" w:hAnsi="仿宋" w:eastAsia="仿宋"/>
          <w:color w:val="000000"/>
          <w:sz w:val="28"/>
          <w:szCs w:val="28"/>
        </w:rPr>
      </w:pPr>
    </w:p>
    <w:p>
      <w:pPr>
        <w:spacing w:line="560" w:lineRule="exact"/>
        <w:ind w:firstLine="4393" w:firstLineChars="1569"/>
        <w:rPr>
          <w:rFonts w:ascii="仿宋" w:hAnsi="仿宋" w:eastAsia="仿宋"/>
          <w:color w:val="000000"/>
          <w:sz w:val="28"/>
          <w:szCs w:val="28"/>
        </w:rPr>
      </w:pPr>
      <w:r>
        <w:rPr>
          <w:rFonts w:hint="eastAsia" w:ascii="仿宋" w:hAnsi="仿宋" w:eastAsia="仿宋"/>
          <w:color w:val="000000"/>
          <w:sz w:val="28"/>
          <w:szCs w:val="28"/>
        </w:rPr>
        <w:t>说明人（盖章、签名手印）：</w:t>
      </w:r>
    </w:p>
    <w:p>
      <w:pPr>
        <w:spacing w:line="560" w:lineRule="exact"/>
        <w:ind w:firstLine="4393" w:firstLineChars="1569"/>
        <w:rPr>
          <w:rFonts w:ascii="仿宋" w:hAnsi="仿宋" w:eastAsia="仿宋"/>
          <w:color w:val="000000"/>
          <w:sz w:val="28"/>
          <w:szCs w:val="28"/>
        </w:rPr>
      </w:pPr>
    </w:p>
    <w:p>
      <w:pPr>
        <w:spacing w:line="560" w:lineRule="exact"/>
        <w:ind w:firstLine="4670" w:firstLineChars="1668"/>
        <w:rPr>
          <w:rFonts w:ascii="仿宋" w:hAnsi="仿宋" w:eastAsia="仿宋"/>
          <w:color w:val="000000"/>
          <w:sz w:val="28"/>
          <w:szCs w:val="28"/>
        </w:rPr>
      </w:pPr>
      <w:r>
        <w:rPr>
          <w:rFonts w:hint="eastAsia" w:ascii="仿宋" w:hAnsi="仿宋" w:eastAsia="仿宋"/>
          <w:color w:val="000000"/>
          <w:sz w:val="28"/>
          <w:szCs w:val="28"/>
        </w:rPr>
        <w:t>二〇二四年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cs="宋体"/>
          <w:b/>
          <w:sz w:val="28"/>
          <w:szCs w:val="28"/>
        </w:rPr>
      </w:pPr>
      <w:r>
        <w:rPr>
          <w:rFonts w:ascii="幼圆" w:hAnsi="宋体" w:eastAsia="幼圆"/>
          <w:b/>
          <w:color w:val="000000"/>
          <w:sz w:val="28"/>
          <w:szCs w:val="28"/>
        </w:rPr>
        <w:t>附件</w:t>
      </w:r>
      <w:r>
        <w:rPr>
          <w:rFonts w:hint="eastAsia" w:ascii="幼圆" w:hAnsi="宋体" w:eastAsia="幼圆"/>
          <w:b/>
          <w:color w:val="000000"/>
          <w:sz w:val="28"/>
          <w:szCs w:val="28"/>
        </w:rPr>
        <w:t>5：</w:t>
      </w:r>
      <w:r>
        <w:rPr>
          <w:rFonts w:hint="eastAsia" w:ascii="幼圆" w:hAnsi="宋体" w:eastAsia="幼圆"/>
          <w:b/>
          <w:sz w:val="28"/>
          <w:szCs w:val="28"/>
        </w:rPr>
        <w:t>承诺</w:t>
      </w:r>
      <w:r>
        <w:rPr>
          <w:rFonts w:hint="eastAsia" w:ascii="宋体" w:hAnsi="宋体" w:cs="宋体"/>
          <w:b/>
          <w:sz w:val="28"/>
          <w:szCs w:val="28"/>
        </w:rPr>
        <w:t>书</w:t>
      </w:r>
    </w:p>
    <w:p>
      <w:pPr>
        <w:jc w:val="center"/>
        <w:rPr>
          <w:rFonts w:ascii="宋体" w:cs="宋体"/>
          <w:b/>
          <w:sz w:val="28"/>
          <w:szCs w:val="28"/>
        </w:rPr>
      </w:pPr>
      <w:r>
        <w:rPr>
          <w:rFonts w:hint="eastAsia" w:ascii="宋体" w:hAnsi="宋体" w:cs="宋体"/>
          <w:b/>
          <w:sz w:val="28"/>
          <w:szCs w:val="28"/>
        </w:rPr>
        <w:t>承诺书</w:t>
      </w:r>
    </w:p>
    <w:p>
      <w:pPr>
        <w:spacing w:line="520" w:lineRule="exact"/>
        <w:ind w:firstLine="565" w:firstLineChars="202"/>
        <w:rPr>
          <w:rFonts w:ascii="仿宋" w:hAnsi="仿宋" w:eastAsia="仿宋"/>
          <w:sz w:val="28"/>
          <w:szCs w:val="28"/>
        </w:rPr>
      </w:pPr>
    </w:p>
    <w:p>
      <w:pPr>
        <w:spacing w:line="520" w:lineRule="exact"/>
        <w:ind w:firstLine="565" w:firstLineChars="202"/>
        <w:rPr>
          <w:rFonts w:ascii="仿宋" w:hAnsi="仿宋" w:eastAsia="仿宋"/>
          <w:sz w:val="28"/>
          <w:szCs w:val="28"/>
        </w:rPr>
      </w:pPr>
      <w:r>
        <w:rPr>
          <w:rFonts w:hint="eastAsia" w:ascii="仿宋" w:hAnsi="仿宋" w:eastAsia="仿宋"/>
          <w:sz w:val="28"/>
          <w:szCs w:val="28"/>
        </w:rPr>
        <w:t>竞租人</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在此郑重承诺：就池塘租期届满向招租人无条件、无补偿、无赔偿交还土地或池塘，本单位或本人承诺租赁期内严格按招租方案要求和合同约定养殖水产品；不擅自在承租区域内修建永久性建筑等设施；租期届满前清收完所有水产品，自行处置完流动资产，按期向招租人交还土地。如本单位或本人不能在池塘租期结束后</w:t>
      </w:r>
      <w:r>
        <w:rPr>
          <w:rFonts w:ascii="仿宋" w:hAnsi="仿宋" w:eastAsia="仿宋"/>
          <w:sz w:val="28"/>
          <w:szCs w:val="28"/>
        </w:rPr>
        <w:t>15</w:t>
      </w:r>
      <w:r>
        <w:rPr>
          <w:rFonts w:hint="eastAsia" w:ascii="仿宋" w:hAnsi="仿宋" w:eastAsia="仿宋"/>
          <w:sz w:val="28"/>
          <w:szCs w:val="28"/>
        </w:rPr>
        <w:t>日内交还招租人池塘及土地，招租人可在任何时候采取强制排水、强制扒堆等一切措施收回池塘及土地，由此所造成的一切经济损失和法律责任都由本单位或本人自行承担，与招租人无关，本单位或本人绝无异议。同时，本次招租的池塘土地及其水、电、路等设施是以现状为准进行招租，在本次租赁期间，招租人不再对土地及其设施进行修缮或添置等投入。如我方需对土地进行改造的，所有改造费用由承租人自行承担，租期届满时承租人不得向招租人提出任何改造费用的补偿或赔偿要求。本单位或本人若违反上述承诺中的一条或多条的，本单位自愿向招租人支付</w:t>
      </w:r>
      <w:r>
        <w:rPr>
          <w:rFonts w:ascii="仿宋" w:hAnsi="仿宋" w:eastAsia="仿宋"/>
          <w:sz w:val="28"/>
          <w:szCs w:val="28"/>
        </w:rPr>
        <w:t>50</w:t>
      </w:r>
      <w:r>
        <w:rPr>
          <w:rFonts w:hint="eastAsia" w:ascii="仿宋" w:hAnsi="仿宋" w:eastAsia="仿宋"/>
          <w:sz w:val="28"/>
          <w:szCs w:val="28"/>
        </w:rPr>
        <w:t>万元的惩罚性违约金。</w:t>
      </w:r>
    </w:p>
    <w:p>
      <w:pPr>
        <w:ind w:firstLine="560" w:firstLineChars="200"/>
        <w:rPr>
          <w:rFonts w:ascii="仿宋" w:hAnsi="仿宋" w:eastAsia="仿宋"/>
          <w:sz w:val="28"/>
          <w:szCs w:val="28"/>
        </w:rPr>
      </w:pPr>
      <w:r>
        <w:rPr>
          <w:rFonts w:hint="eastAsia" w:ascii="仿宋" w:hAnsi="仿宋" w:eastAsia="仿宋"/>
          <w:sz w:val="28"/>
          <w:szCs w:val="28"/>
        </w:rPr>
        <w:t>特此承诺。</w:t>
      </w:r>
    </w:p>
    <w:p>
      <w:pPr>
        <w:ind w:firstLine="560" w:firstLineChars="200"/>
        <w:rPr>
          <w:rFonts w:ascii="仿宋" w:hAnsi="仿宋" w:eastAsia="仿宋"/>
          <w:sz w:val="28"/>
          <w:szCs w:val="28"/>
        </w:rPr>
      </w:pPr>
    </w:p>
    <w:p>
      <w:pPr>
        <w:spacing w:line="560" w:lineRule="exact"/>
        <w:ind w:firstLine="4393" w:firstLineChars="1569"/>
        <w:rPr>
          <w:rFonts w:ascii="仿宋" w:hAnsi="仿宋" w:eastAsia="仿宋"/>
          <w:sz w:val="28"/>
          <w:szCs w:val="28"/>
        </w:rPr>
      </w:pPr>
      <w:r>
        <w:rPr>
          <w:rFonts w:hint="eastAsia" w:ascii="仿宋" w:hAnsi="仿宋" w:eastAsia="仿宋"/>
          <w:sz w:val="28"/>
          <w:szCs w:val="28"/>
        </w:rPr>
        <w:t>承诺人（盖章、签名手印）：</w:t>
      </w:r>
    </w:p>
    <w:p>
      <w:pPr>
        <w:spacing w:line="560" w:lineRule="exact"/>
        <w:ind w:firstLine="4393" w:firstLineChars="1569"/>
        <w:rPr>
          <w:rFonts w:ascii="仿宋" w:hAnsi="仿宋" w:eastAsia="仿宋"/>
          <w:sz w:val="28"/>
          <w:szCs w:val="28"/>
        </w:rPr>
      </w:pPr>
    </w:p>
    <w:p>
      <w:pPr>
        <w:spacing w:line="560" w:lineRule="exact"/>
        <w:ind w:firstLine="4393" w:firstLineChars="1569"/>
        <w:rPr>
          <w:rFonts w:ascii="仿宋" w:hAnsi="仿宋" w:eastAsia="仿宋"/>
          <w:sz w:val="28"/>
          <w:szCs w:val="28"/>
        </w:rPr>
      </w:pPr>
      <w:r>
        <w:rPr>
          <w:rFonts w:hint="eastAsia" w:ascii="仿宋" w:hAnsi="仿宋" w:eastAsia="仿宋"/>
          <w:sz w:val="28"/>
          <w:szCs w:val="28"/>
        </w:rPr>
        <w:t>二〇二四年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rPr>
        <w:t>日</w:t>
      </w: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r>
        <w:rPr>
          <w:rFonts w:hint="eastAsia" w:ascii="幼圆" w:hAnsi="宋体" w:eastAsia="幼圆"/>
          <w:b/>
          <w:color w:val="000000"/>
          <w:sz w:val="28"/>
          <w:szCs w:val="28"/>
        </w:rPr>
        <w:t>附件6：池塘租赁合同</w:t>
      </w:r>
    </w:p>
    <w:p>
      <w:pPr>
        <w:spacing w:line="720" w:lineRule="auto"/>
        <w:jc w:val="center"/>
        <w:rPr>
          <w:rFonts w:ascii="宋体" w:hAnsi="宋体"/>
          <w:b/>
          <w:color w:val="000000"/>
          <w:sz w:val="32"/>
          <w:szCs w:val="32"/>
        </w:rPr>
      </w:pPr>
      <w:r>
        <w:rPr>
          <w:rFonts w:hint="eastAsia" w:ascii="宋体" w:hAnsi="宋体"/>
          <w:b/>
          <w:color w:val="000000"/>
          <w:sz w:val="32"/>
          <w:szCs w:val="32"/>
        </w:rPr>
        <w:t>池塘租赁合同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甲方(出租人): 盐城市新滩盐场实业发展有限公司</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乙方(承租人):</w:t>
      </w:r>
      <w:r>
        <w:rPr>
          <w:rFonts w:hint="eastAsia"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u w:val="single"/>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为充分利用土地资源，发展壮大甲方养殖业，本着互惠互利、共同发展原则，根据我国《民法典》等法律规定和经2024年度</w:t>
      </w:r>
      <w:r>
        <w:rPr>
          <w:rFonts w:hint="eastAsia" w:ascii="仿宋" w:hAnsi="仿宋" w:eastAsia="仿宋"/>
          <w:sz w:val="28"/>
          <w:szCs w:val="28"/>
        </w:rPr>
        <w:t>第三次养殖池塘（零星池塘）</w:t>
      </w:r>
      <w:r>
        <w:rPr>
          <w:rFonts w:hint="eastAsia" w:ascii="仿宋" w:hAnsi="仿宋" w:eastAsia="仿宋"/>
          <w:color w:val="000000"/>
          <w:sz w:val="28"/>
          <w:szCs w:val="28"/>
        </w:rPr>
        <w:t>公开竞租池塘的评审结果，经甲乙双方协商，就乙方中标的养殖池塘签订本租赁合同。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 一、租赁物的概况</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租赁物1:位于</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内的</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养殖池塘(共</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块塘),实际租赁面积为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亩。养殖产品为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租赁物2:位于</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内的</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养殖池塘(共</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块塘),实际租赁面积为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亩。养殖产品为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租赁物3:位于</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内的</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养殖池塘(共</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块塘),实际租赁面积为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亩。养殖产品为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租赁物4:位于</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内的</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养殖池塘(共</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块塘),实际租赁面积为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亩。养殖产品为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w:t>
      </w:r>
    </w:p>
    <w:p>
      <w:pPr>
        <w:spacing w:line="560" w:lineRule="exact"/>
        <w:ind w:firstLine="565" w:firstLineChars="202"/>
        <w:rPr>
          <w:rFonts w:ascii="仿宋" w:hAnsi="仿宋" w:eastAsia="仿宋"/>
          <w:sz w:val="28"/>
          <w:szCs w:val="28"/>
        </w:rPr>
      </w:pPr>
      <w:r>
        <w:rPr>
          <w:rFonts w:hint="eastAsia" w:ascii="仿宋" w:hAnsi="仿宋" w:eastAsia="仿宋"/>
          <w:color w:val="000000"/>
          <w:sz w:val="28"/>
          <w:szCs w:val="28"/>
        </w:rPr>
        <w:t>上述租赁面积合计</w:t>
      </w:r>
      <w:r>
        <w:rPr>
          <w:rFonts w:hint="eastAsia" w:ascii="仿宋" w:hAnsi="仿宋" w:eastAsia="仿宋"/>
          <w:color w:val="000000"/>
          <w:sz w:val="28"/>
          <w:szCs w:val="28"/>
          <w:u w:val="single"/>
          <w:shd w:val="pct10" w:color="auto" w:fill="FFFFFF"/>
        </w:rPr>
        <w:t xml:space="preserve">         </w:t>
      </w:r>
      <w:r>
        <w:rPr>
          <w:rFonts w:hint="eastAsia" w:ascii="仿宋" w:hAnsi="仿宋" w:eastAsia="仿宋"/>
          <w:color w:val="000000"/>
          <w:sz w:val="28"/>
          <w:szCs w:val="28"/>
        </w:rPr>
        <w:t>亩，业经双方确认无误，以后任何一方不得再就租赁面积问题提出异议（双方另有约定的除外）。上述池塘均以现状出租，在租赁期间，甲方不再就池塘及其附属设施的维护、修缮等进行资金投入。</w:t>
      </w:r>
      <w:r>
        <w:rPr>
          <w:rFonts w:hint="eastAsia" w:ascii="仿宋" w:hAnsi="仿宋" w:eastAsia="仿宋"/>
          <w:sz w:val="28"/>
          <w:szCs w:val="28"/>
        </w:rPr>
        <w:t>如承租人需对土地及其设施进行改造或添置的，所有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惩罚性违约金人民币</w:t>
      </w:r>
      <w:r>
        <w:rPr>
          <w:rFonts w:ascii="仿宋" w:hAnsi="仿宋" w:eastAsia="仿宋"/>
          <w:sz w:val="28"/>
          <w:szCs w:val="28"/>
        </w:rPr>
        <w:t>50</w:t>
      </w:r>
      <w:r>
        <w:rPr>
          <w:rFonts w:hint="eastAsia" w:ascii="仿宋" w:hAnsi="仿宋" w:eastAsia="仿宋"/>
          <w:sz w:val="28"/>
          <w:szCs w:val="28"/>
        </w:rPr>
        <w:t>万元。</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在本合同签署后，乙方应及时自行进驻池塘并开展养殖活动，双方签署上述池塘及其设施的交接手续，双方对此均无异议。</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二、租赁用途</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租赁池塘只能从事</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养殖，乙方不得从事其他行业生产。对于本次招租的海水养殖池塘，如租期为不超过一年的，承租人不得放养生长周期超过一年的贝类等水产品。</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三、租赁期限</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本合同租赁期限为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个月，即租期自甲方实际交付池塘之日起至20</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日止（如果原承租人尚未交还池塘的，待甲方收回池塘后交付给乙方使用，租期和租金支付时间节点均相应顺延，租金标准不变）。</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四、租赁费用及履约保证金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1.租金标准为人民币</w:t>
      </w:r>
      <w:r>
        <w:rPr>
          <w:rFonts w:hint="eastAsia" w:ascii="仿宋" w:hAnsi="仿宋" w:eastAsia="仿宋"/>
          <w:color w:val="000000"/>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元/亩/年(固定单价、含税价)；</w:t>
      </w:r>
    </w:p>
    <w:p>
      <w:pPr>
        <w:spacing w:line="560" w:lineRule="exact"/>
        <w:ind w:firstLine="565" w:firstLineChars="202"/>
        <w:jc w:val="left"/>
        <w:rPr>
          <w:rFonts w:ascii="仿宋" w:hAnsi="仿宋" w:eastAsia="仿宋"/>
          <w:b/>
          <w:color w:val="000000"/>
          <w:sz w:val="24"/>
          <w:szCs w:val="24"/>
        </w:rPr>
      </w:pPr>
      <w:r>
        <w:rPr>
          <w:rFonts w:hint="eastAsia" w:ascii="仿宋" w:hAnsi="仿宋" w:eastAsia="仿宋"/>
          <w:color w:val="000000"/>
          <w:sz w:val="28"/>
          <w:szCs w:val="28"/>
        </w:rPr>
        <w:t xml:space="preserve">2.租金缴纳：本租赁合同采用“先付后用，一年一付”原则，租金及其支付时间如下表：                       </w:t>
      </w:r>
      <w:r>
        <w:rPr>
          <w:rFonts w:hint="eastAsia" w:ascii="仿宋" w:hAnsi="仿宋" w:eastAsia="仿宋"/>
          <w:b/>
          <w:color w:val="000000"/>
          <w:sz w:val="24"/>
          <w:szCs w:val="24"/>
        </w:rPr>
        <w:t xml:space="preserve">  (租金单位：人民币元)</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4172"/>
        <w:gridCol w:w="1700"/>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7" w:type="dxa"/>
            <w:shd w:val="clear" w:color="auto" w:fill="auto"/>
            <w:vAlign w:val="center"/>
          </w:tcPr>
          <w:p>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序</w:t>
            </w:r>
          </w:p>
        </w:tc>
        <w:tc>
          <w:tcPr>
            <w:tcW w:w="4172" w:type="dxa"/>
            <w:shd w:val="clear" w:color="auto" w:fill="auto"/>
            <w:vAlign w:val="center"/>
          </w:tcPr>
          <w:p>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缴纳租金的租期时段</w:t>
            </w:r>
          </w:p>
        </w:tc>
        <w:tc>
          <w:tcPr>
            <w:tcW w:w="1700" w:type="dxa"/>
            <w:shd w:val="clear" w:color="auto" w:fill="auto"/>
            <w:vAlign w:val="center"/>
          </w:tcPr>
          <w:p>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当期租金金额</w:t>
            </w:r>
          </w:p>
        </w:tc>
        <w:tc>
          <w:tcPr>
            <w:tcW w:w="2472" w:type="dxa"/>
            <w:shd w:val="clear" w:color="auto" w:fill="auto"/>
            <w:vAlign w:val="center"/>
          </w:tcPr>
          <w:p>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租金缴纳时限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07" w:type="dxa"/>
            <w:shd w:val="clear" w:color="auto" w:fill="auto"/>
            <w:vAlign w:val="center"/>
          </w:tcPr>
          <w:p>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1</w:t>
            </w:r>
          </w:p>
        </w:tc>
        <w:tc>
          <w:tcPr>
            <w:tcW w:w="4172" w:type="dxa"/>
            <w:shd w:val="clear" w:color="auto" w:fill="auto"/>
            <w:vAlign w:val="center"/>
          </w:tcPr>
          <w:p>
            <w:pPr>
              <w:spacing w:line="560"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20  年  月   日-20   年  月   日</w:t>
            </w:r>
          </w:p>
        </w:tc>
        <w:tc>
          <w:tcPr>
            <w:tcW w:w="1700" w:type="dxa"/>
            <w:shd w:val="clear" w:color="auto" w:fill="auto"/>
            <w:vAlign w:val="center"/>
          </w:tcPr>
          <w:p>
            <w:pPr>
              <w:spacing w:line="560" w:lineRule="exact"/>
              <w:jc w:val="center"/>
              <w:rPr>
                <w:rFonts w:ascii="仿宋" w:hAnsi="仿宋" w:eastAsia="仿宋"/>
                <w:color w:val="000000"/>
                <w:kern w:val="0"/>
                <w:sz w:val="24"/>
                <w:szCs w:val="24"/>
                <w:shd w:val="pct10" w:color="auto" w:fill="FFFFFF"/>
              </w:rPr>
            </w:pPr>
          </w:p>
        </w:tc>
        <w:tc>
          <w:tcPr>
            <w:tcW w:w="2472" w:type="dxa"/>
            <w:shd w:val="clear" w:color="auto" w:fill="auto"/>
            <w:vAlign w:val="center"/>
          </w:tcPr>
          <w:p>
            <w:pPr>
              <w:spacing w:line="560"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双方签署中标确认书后7日内付清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shd w:val="clear" w:color="auto" w:fill="auto"/>
            <w:vAlign w:val="center"/>
          </w:tcPr>
          <w:p>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2</w:t>
            </w:r>
          </w:p>
        </w:tc>
        <w:tc>
          <w:tcPr>
            <w:tcW w:w="4172" w:type="dxa"/>
            <w:shd w:val="clear" w:color="auto" w:fill="auto"/>
            <w:vAlign w:val="center"/>
          </w:tcPr>
          <w:p>
            <w:pPr>
              <w:spacing w:line="560"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20  年  月   日-20   年  月   日</w:t>
            </w:r>
          </w:p>
        </w:tc>
        <w:tc>
          <w:tcPr>
            <w:tcW w:w="1700" w:type="dxa"/>
            <w:shd w:val="clear" w:color="auto" w:fill="auto"/>
            <w:vAlign w:val="center"/>
          </w:tcPr>
          <w:p>
            <w:pPr>
              <w:spacing w:line="560" w:lineRule="exact"/>
              <w:jc w:val="center"/>
              <w:rPr>
                <w:rFonts w:ascii="仿宋" w:hAnsi="仿宋" w:eastAsia="仿宋"/>
                <w:color w:val="000000"/>
                <w:kern w:val="0"/>
                <w:sz w:val="24"/>
                <w:szCs w:val="24"/>
                <w:shd w:val="pct10" w:color="auto" w:fill="FFFFFF"/>
              </w:rPr>
            </w:pPr>
          </w:p>
        </w:tc>
        <w:tc>
          <w:tcPr>
            <w:tcW w:w="2472" w:type="dxa"/>
            <w:shd w:val="clear" w:color="auto" w:fill="auto"/>
            <w:vAlign w:val="center"/>
          </w:tcPr>
          <w:p>
            <w:pPr>
              <w:spacing w:line="560"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shd w:val="clear" w:color="auto" w:fill="auto"/>
            <w:vAlign w:val="center"/>
          </w:tcPr>
          <w:p>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3</w:t>
            </w:r>
          </w:p>
        </w:tc>
        <w:tc>
          <w:tcPr>
            <w:tcW w:w="4172" w:type="dxa"/>
            <w:shd w:val="clear" w:color="auto" w:fill="auto"/>
            <w:vAlign w:val="center"/>
          </w:tcPr>
          <w:p>
            <w:pPr>
              <w:spacing w:line="560"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20  年  月   日-20   年  月   日</w:t>
            </w:r>
          </w:p>
        </w:tc>
        <w:tc>
          <w:tcPr>
            <w:tcW w:w="1700" w:type="dxa"/>
            <w:shd w:val="clear" w:color="auto" w:fill="auto"/>
            <w:vAlign w:val="center"/>
          </w:tcPr>
          <w:p>
            <w:pPr>
              <w:spacing w:line="560" w:lineRule="exact"/>
              <w:jc w:val="center"/>
              <w:rPr>
                <w:rFonts w:ascii="仿宋" w:hAnsi="仿宋" w:eastAsia="仿宋"/>
                <w:color w:val="000000"/>
                <w:kern w:val="0"/>
                <w:sz w:val="24"/>
                <w:szCs w:val="24"/>
                <w:shd w:val="pct10" w:color="auto" w:fill="FFFFFF"/>
              </w:rPr>
            </w:pPr>
          </w:p>
        </w:tc>
        <w:tc>
          <w:tcPr>
            <w:tcW w:w="2472" w:type="dxa"/>
            <w:shd w:val="clear" w:color="auto" w:fill="auto"/>
            <w:vAlign w:val="center"/>
          </w:tcPr>
          <w:p>
            <w:pPr>
              <w:spacing w:line="560"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20   年  月   日前</w:t>
            </w:r>
          </w:p>
        </w:tc>
      </w:tr>
    </w:tbl>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乙方必须按照上表中所列租期金额和缴纳时限按时足额缴纳租金，且甲方无需对乙方进行租金到期的提醒。乙方缴费迟延或缴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年每亩</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元人民币计算（不低于年租金标准的1.5倍）。</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3.本合同采用固定单价。如租赁实际面积发生误差的，以本租赁合同记载的面积为准进行租金结算，且甲方对面积误差不承担违约责任。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4.履约保证金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本合同的履约保证金为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元人民币，乙方须在本合同签订之前交清。在本合同租期内，如乙方无违约行为，在租赁期结束或期内合同终止/解除时，由甲方在五个工作日内免息返还履约保证金。因乙方违约致使合同解除或终止的，甲方有权没收乙方履约保证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5.其他费用</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养殖外线扬水电费由甲方承担。养殖二次扬水电费、生活用水、用电等项目按表计量由乙方承担，并由乙方与供水、供电等单位自行联系和结算，与甲方无涉。</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五、甲方的权利和义务</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依照合同规定，按期向乙方收取相关租金及其他费用。乙方如不按期缴纳租赁池塘等相关费用的，则按本合同第四条执行。因租期届满或租期内合同解除的，乙方须在租期届满之日或届满日之前（或合同解除之日起二十日内）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或解除合同后，租赁物由甲方重新对外出租，乙方不得影响甲方对池塘的重新出租，否则乙方赔偿甲方由此造成的一切损失（含租金差价损失）。池塘内的水产品自租期届满之日前（或解除合同之日起二十日内）由乙方自行起捕完毕，逾期则视同乙方放弃租赁物中水产品所有权等权利，滞留在租赁物内的水产品、设施设备等资产由甲方全权处理，且甲方不予任何赔偿或补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2.协助乙方进行治安管理，营造良好养殖环境。</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3.在租赁期间，甲方有权检查、督促乙方保持租赁区域内池塘四周堤堆、与之配套的进排水河道及涵闸、电力线路、自来水管道等设施的完好及安全。</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4.甲方有权按照现代渔业养殖要求对乙方使用的养殖投入品进行监督检查，禁止乙方使用不符合食品质量安全要求的投入品。</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5.遇到台风、暴雨等特殊天气，甲方有权基于防汛抗洪的实际需要，指定乙方租赁池塘的排水时间和禁排时间，乙方必须无条件服从甲方的安排，由此给乙方造成损失的，甲方不承担任何赔偿或补偿等责任。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6.在租期届满或期内合同解除后，乙方未能交还租赁物且乙方已将租赁物分租、转租给次承租人的，甲方有权就该租赁物直接与次承租人签订租赁协议，并直接收取次承租人的租金。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六、乙方的权利和义务</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严格遵守国家法律法规，依法养殖经营。乙方必须严格遵守我国野生动物保护法，禁止猎捕、杀害以及其他妨碍国家重点保护野生动物生息繁衍的活动；严格遵守环境保护相关法律法规，养殖区域禁止新增、新建、改建、扩建生产、生活设施，禁止使用剧毒农药或药品，禁止向水体排放有害废水。如乙方违反上述约定的，甲方将向有关部门举报，依法追究相关责任人法律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2.遵守甲方关于淡水养殖的所有制度(乙方确认已经知悉上述的甲方管理制度，详见本合同附件)。按照优质、生态、安全、绿色、无公害养殖要求进行养殖，服从甲方依据法律法规和本合同约定进行的养殖管理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3.具有合同范围内的自主经营权，须诚实守信，合法经营。</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4.按合同规定按时足额缴纳租赁费、其他费用和所有的相关税金。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5.维护养殖区内社会治安，遵守安全、环保等管理制度。</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6.对本租赁池塘区域内的公共设施有维护责任和义务。</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7.乙方为安全生产责任主体，应全面落实安全生产法律法规及环保法规定的责任，对租赁期内的养殖生产及发生的一切安全事故承担全部责任。乙方必须为雇工每人参投不低于50万元保额的人身意外伤害保险。</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8.乙方必须服从甲方管理，不得违反治安管理规定，不得有非访、越级访、集体访、串联访、无理缠访和闹访等行为。如有违反上述任何一项视为乙方自动放弃下一轮的池塘优先租赁权并自行承担由此造成的一切责任和经济损失，且甲方有权解除本合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9.严禁在池塘内、外及周边土地上随意乱丢废弃药瓶、包装袋等生产生活垃圾。所有垃圾要集中堆放，由养殖管理区按时处理，对于池塘死鱼必须按照规定要求进行处理，不得随意丢弃或违规处理。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10.乙方应根据池塘现有状况保持合理水位，避免对池塘堤坝及其它基础设施和附属设施造成损坏，如遇大风天气应及时降低水位，因管理不善或因擅自加高水位对池塘堤坝造成溃坝、管涌等安全隐患，由此造成的一切损失由乙方全部承担赔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七、其它约定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1.乙方必须协助甲方处理本合同项下租赁物的相关遗留问题，乙方不协助的，视为乙方违约，由此发生的相关损失，由乙方向甲方赔偿。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如果乙方以前是或目前是甲方的承租户的，乙方确认，在签署本合同时，就此前已经履行完毕或目前正在履行的其他租赁合同，乙方同意放弃向甲方提出的任何主张和要求，并确认将来不再就以前的租赁合同和目前正在履行的其他租赁合同向甲方提出任何索赔或补偿的请求，以前的租赁合同和目前履行中的其他租赁合同的争议全部处理结束(乙方积欠甲方的租金或占用费除外)。</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乙方积欠甲方的租金或占用费、占用甲方池塘的案件除外)。</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乙方认可甲方租赁物的水源供应、池塘、附属设施及内、外线进排水水系现状满足乙方的养殖需要。租赁期间，未经甲方书面同意，乙方不得擅自改变池塘结构和形状，不得擅自修建其它永久性房屋、道路、桥梁、电力设施等。乙方负责所租赁池塘区域内外的道路、涵闸、池塘堤堆、进排水河道、桥梁等设施的日常维护与保养，池塘改造的土方不得外运；乙方需搭建临时用房、架设内部电力设施的须书面报请甲方，待甲方书面批复同意后方可进行。上述事宜所需资金由乙方自行筹集，乙方搭建的上述临时用房等附属设施以及道路、涵闸、池塘堤堆、进排水河道、桥梁等设施，无论是否获得甲方同意，其产权自乙方搭建完成时即归甲方所有，在租赁期满后或租期内解除合同后，乙方必须无偿移交给甲方，且乙方不得破坏，否则计价赔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乙方缴纳的合同履约保证金不计利息。本合同租期届满或合同解除时，乙方将池塘及其投入资产按不低于完好率85%移交甲方后，甲方将根据资产完好率酌情免息退还履约保证金(但如乙方出现违约行为、或因乙方违约导致租期内解除合同的，甲方有权不退还保证金)。如有资产损坏严重的，经第三方评估或双方协商来确定赔偿金额，在保证金中扣除相应赔偿款后的余款退还乙方；若保证金不足赔付的，由乙方予以补足。</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乙方必须按照国家法律法规和无公害农产品要求组织生产经营活动，甲方有权检查乙方使用的药物、饲料等，若发现乙方使用不合格的药物、饲料等，甲方有权制止乙方使用，并向行政部门举报，并按本合同约定追究乙方的违约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甲方不承担因电网停电、停水、水源质量、水体供应量等原因而造成的乙方养殖损失。甲方仅提供现有条件下的水、电、路等设施，乙方签署本合同的行为视为乙方认可该池塘现有条件下的基础设施满足其养殖需求。甲方只提供现有的进、排水系统。因特殊情况需要甲方协调解决养殖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8.在养殖生产期间，乙方应熟悉掌握中山河淡水供应季节特点，自行安排进、排水时间，保证养殖用水，并认真加强对水质的监控，配备必要的水质检验器材，如因乙方自身对水质监察不力，误进了污染水、有害水等导致养殖品种发生病害或死亡的，甲方概不负责。</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9.租赁期间，乙方应自行加强应对突发性停电事故的能力，自备发电机、增氧用品等设备或物品。如因供电单位原因、不可抗力或强对流天气、雷电等原因造成停电停水的，甲方不承担任何赔偿或补偿责任。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10.租赁期间，如因乙方管理不善，对其租赁区域内池塘四周堤堆、与之配套的进排水河道及涵闸、电力线路、自来水管道等设施造成损坏和安全隐患以及由此产生的延伸后果，由乙方负全责，并自行承担相应的赔偿和维修费用。</w:t>
      </w:r>
    </w:p>
    <w:p>
      <w:pPr>
        <w:spacing w:line="560" w:lineRule="exact"/>
        <w:ind w:firstLine="565" w:firstLineChars="202"/>
        <w:rPr>
          <w:rFonts w:ascii="仿宋" w:hAnsi="仿宋" w:eastAsia="仿宋"/>
          <w:color w:val="FF0000"/>
          <w:sz w:val="28"/>
          <w:szCs w:val="28"/>
        </w:rPr>
      </w:pPr>
      <w:r>
        <w:rPr>
          <w:rFonts w:hint="eastAsia" w:ascii="仿宋" w:hAnsi="仿宋" w:eastAsia="仿宋"/>
          <w:sz w:val="28"/>
          <w:szCs w:val="28"/>
        </w:rPr>
        <w:t>11.租赁期间，在乙方承包区域内经甲方认定的公共砂石道路，由甲乙双方另行签订砂石道路维护协议，交由乙方维护,每年年底由甲方组织验收，经验收合格的甲方给付乙方每年每公里5000元维护费(具体以双方签订的砂石道路维护协议内容为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12.在不影响养殖生产的情况下，乙方有义务配合甲方在其承包区域实施绿化工程，乙方不得阻扰施工，不得索取任何补偿或赔偿。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13.租赁期届满或因乙方违约而甲方解除合同后，乙方按合同约定要求将租赁池塘及基础设施等所有固定资产无矛盾、无条件、无任何补偿地移交甲方，否则视乙方违约。</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14.租赁期届满或因乙方违约而甲方解除合同时，乙方保证自己和合作方及时全部退出养殖区域，养殖期间产生的纠纷矛盾由乙方负责全权处理。如因矛盾纠纷处理不力或未按期交塘给甲方造成经济损失，由乙方全额承担赔偿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15.在租赁期内，因甲方的建设、规划等原因导致甲方不能继续出租本合同项下租赁物的，甲方有权提前解除本合同，乙方须无条件服从，并在收到解除通知书后30日内交还租赁物，且甲方不予任何赔偿或补偿(但对于乙方在本租期内且在本合同租赁物范围内新投入的不动产，在乙方提供充分、真实证据的基础上，委托第三方按照本合同租期进行折旧的残值评估，由甲方进行适当补偿。除此之外，甲方概不予补偿)。在此情形下收回租赁物时，甲方按乙方实际使用租赁物的时间计算收取租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16.在租赁期内，乙方应及时缴纳电费、水费等相关费用，如乙方拖欠总金额超过一千元且迟延支付达十日的，视乙方违约，甲方有权解除本合同，并有权进行停电、停水处理，由此引发的一切损失由乙方全额承担。</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17.因乙方违约导致解除合同的，甲方可以提前书面告知乙方(如乙方逾期缴纳租金或租金缴纳不足额的，甲方可以不予告知而直接解除或终止合同)。乙方收到甲方的解除合同告知后，必须在20日内完成清塘和交塘，且甲方不与任何补偿或赔偿。如乙方逾期未交还租赁物的，该租赁物内所有水产品由甲方全权处理，且甲方不予任何赔偿或补偿，所造成的一切损失由乙方承担，且乙方须承担本合同约定的占用费和其他违约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八、合同变更和解除</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1.本合同租期届满时本合同自然终止，双方结清费用。租期内如自然灾害、政府行为、甲方规划建设等原因致使不能实现合同目的时，本合同自动解除，互不负违约责任，由双方按实结算租金。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乙方不得擅自将租赁物转包、出卖、抵押给他人，不得将租赁经营权利转移给他人或变相转移给他人，否则甲方有权解除合同，一切责任由乙方承担。如果乙方需要转租或分租的，须征得甲方书面同意。对于同意乙方转租的租赁物，甲方认为有必要，可以书面通知乙方将其已经转租的池塘收回，由乙方自己继续经营。甲方上述同意书和通知书自乙方收到之日生效，乙方须严格执行，否则视为乙方违约。</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3.本合同签订后，如因上级政府机关及其部门、黄海新区、</w:t>
      </w:r>
      <w:r>
        <w:rPr>
          <w:rFonts w:ascii="仿宋" w:hAnsi="仿宋" w:eastAsia="仿宋"/>
          <w:color w:val="000000"/>
          <w:sz w:val="28"/>
          <w:szCs w:val="28"/>
        </w:rPr>
        <w:t>滨海港区建设需要</w:t>
      </w:r>
      <w:r>
        <w:rPr>
          <w:rFonts w:hint="eastAsia" w:ascii="仿宋" w:hAnsi="仿宋" w:eastAsia="仿宋"/>
          <w:color w:val="000000"/>
          <w:sz w:val="28"/>
          <w:szCs w:val="28"/>
        </w:rPr>
        <w:t>的规划建设、招商引资、征地拆迁的等政府行为需要改变土地用途或收回租赁物的，导致本合同不能履行的，合同自动终止(甲方也有权解除同),双方互不承担违约责任。乙方接到甲方终止合同或解除合同的书面通知后，须在二十日内无条件地按照本合同约定交还租赁物，甲方不承担任何赔偿或补偿(但对于乙方在本租期内且在本合同租赁物范围内新投入的不动产，在乙方提供充分、真实证据的基础上，委托第三方按照本合同租期进行折旧的残值评估，由甲方进行适当补偿。除此之外，甲方概不予补偿或赔偿)。征地拆迁（征塘）的相关补偿均归甲方所有。</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九、安全生产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租赁区域的安全责任具体按甲乙双方签订的安全管理责任书执行。租赁期间，乙方及其所聘用的人员发生的一切人身安全及设备事故，均由乙方负责，与甲方无涉。</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十、免责条款</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如遇不可抗力的自然灾害(如台风、海啸、地震等)和政府行为等造成的损失，双方互相免责，本租赁合同终止履行。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十一、违约责任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1.乙方违约，按上述违约条款处理；甲方违反合同条款的，全额赔偿乙方所蒙受的相应直接经济损失。</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2.本合同租期届满或租期内解除合同的，乙方在租期届满或合同解除之日起一个月内未能交还租赁物的，在承担本合同约定的占用费的同时，还须承担人民币100万元的惩罚性违约金。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乙方违背本合同约定的禁止性义务的(本合同另有约定的，按照该约定执行),经甲方书面通知但乙方拒绝整改的，甲方有权解除合同，乙方须交还租赁物，承担逾期交还租赁物期间按照租金标准1.5倍计算的占用费，并承担本合同前款约定的违约金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4.在履行本合同过程中，如乙方出现违约行为的，则自动丧失优先承租权。</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十二、附则</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1.如一方提出要求对本租赁合同进行公证的，可在公证部门办理公证手续，但公证费用由提出方承担，对方予以配合。</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在签署协议时，如原承租人尚未交还本合同项下的池塘的，则本合同直接、自动转变为预约合同，待甲方收回池塘后再交付给乙方使用，租期和租金支付时间节点均相应顺延，本合同的其他条款不变。如果顺延的时间超过一年的，甲乙双方均有权解除本合同，互不承担违约责任。但乙方由此获得在下一轮竞租中对该池塘的优先承租权。本条款属于本合同的特别条款。</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3.本合同未尽事宜，由甲乙双方协商解决，签订补充合同。补充合同与本合同具有同等效力。如协商不成，任何一方均可向合同履行地人民法院提起诉讼。</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4.合同履行过程中双方的电话仅作为一般工作联系方式，重要事项应当以书面函件进行。双方的函件送达地址如下：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（1）甲方送达地址：</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spacing w:line="560" w:lineRule="exact"/>
        <w:ind w:firstLine="1274" w:firstLineChars="455"/>
        <w:rPr>
          <w:rFonts w:ascii="仿宋" w:hAnsi="仿宋" w:eastAsia="仿宋"/>
          <w:color w:val="000000"/>
          <w:sz w:val="28"/>
          <w:szCs w:val="28"/>
        </w:rPr>
      </w:pPr>
      <w:r>
        <w:rPr>
          <w:rFonts w:hint="eastAsia" w:ascii="仿宋" w:hAnsi="仿宋" w:eastAsia="仿宋"/>
          <w:color w:val="000000"/>
          <w:sz w:val="28"/>
          <w:szCs w:val="28"/>
        </w:rPr>
        <w:t>联系人：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（2）乙方送达地址：</w:t>
      </w:r>
      <w:r>
        <w:rPr>
          <w:rFonts w:hint="eastAsia" w:ascii="仿宋" w:hAnsi="仿宋" w:eastAsia="仿宋"/>
          <w:color w:val="000000"/>
          <w:sz w:val="28"/>
          <w:szCs w:val="28"/>
          <w:u w:val="single"/>
        </w:rPr>
        <w:t xml:space="preserve">                                              </w:t>
      </w:r>
    </w:p>
    <w:p>
      <w:pPr>
        <w:spacing w:line="560" w:lineRule="exact"/>
        <w:ind w:firstLine="1260" w:firstLineChars="450"/>
        <w:jc w:val="left"/>
        <w:rPr>
          <w:rFonts w:ascii="仿宋" w:hAnsi="仿宋" w:eastAsia="仿宋"/>
          <w:color w:val="000000"/>
          <w:sz w:val="28"/>
          <w:szCs w:val="28"/>
          <w:u w:val="single"/>
        </w:rPr>
      </w:pPr>
      <w:r>
        <w:rPr>
          <w:rFonts w:hint="eastAsia" w:ascii="仿宋" w:hAnsi="仿宋" w:eastAsia="仿宋"/>
          <w:color w:val="000000"/>
          <w:sz w:val="28"/>
          <w:szCs w:val="28"/>
        </w:rPr>
        <w:t>联系人：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hint="eastAsia"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合同履行过程中，任何一方向对方发出的通知、信件、数据电文等，应当以书面函件形式通过邮寄方式送达给对方。一方当事人变更名称、地址、联系人的，应当在变更后3日内及时书面通知对方当事人，对方当事人实际收到变更通知前的送达仍为有效送达。任何一方当事人向对方所发出的信件，自信件交邮后的第7日视为送达成功。</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上述送达地址可为双方工作联系往来、法律文书以及解决争议过程中人民法院或仲裁机构法律文书的送达地址。本合同送达条款与争议解决条款均为独立条款，不受合同整体或其他条款效力的影响。</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本合同的附件包括《养殖生产安全工作责任书》、《盐场海淡水养殖管理规定》和《养殖池塘租赁交接单》。乙方在履行合同过程中如有违背《养殖生产安全工作责任书》和《盐场海淡水养殖管理规定》的行为，也视为违约，相关违约责任按照本合同的约定执行。</w:t>
      </w:r>
    </w:p>
    <w:p>
      <w:pPr>
        <w:spacing w:line="56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6.本轮《2024年度第</w:t>
      </w:r>
      <w:r>
        <w:rPr>
          <w:rFonts w:hint="eastAsia" w:ascii="仿宋" w:hAnsi="仿宋" w:eastAsia="仿宋"/>
          <w:sz w:val="28"/>
          <w:szCs w:val="28"/>
        </w:rPr>
        <w:t>三次</w:t>
      </w:r>
      <w:r>
        <w:rPr>
          <w:rFonts w:hint="eastAsia" w:ascii="仿宋" w:hAnsi="仿宋" w:eastAsia="仿宋"/>
          <w:color w:val="000000"/>
          <w:sz w:val="28"/>
          <w:szCs w:val="28"/>
        </w:rPr>
        <w:t>养殖池塘（零星池塘）公开招租方案书》的内容作为本合同的组成部分（即使乙方未签署方案书中的相关附件，但乙方参加竞租的行为应视为乙方认可该等附件的内容，该等附件也构成本合同书的组成部分，对本合同双方当事人均有同等的法律约束力）；如本合同没有约定的，则按照招租方案书执行。</w:t>
      </w:r>
    </w:p>
    <w:p>
      <w:pPr>
        <w:spacing w:line="560" w:lineRule="exact"/>
        <w:ind w:firstLine="565" w:firstLineChars="202"/>
        <w:rPr>
          <w:rFonts w:hint="eastAsia" w:ascii="仿宋" w:hAnsi="仿宋" w:eastAsia="仿宋"/>
          <w:color w:val="000000"/>
          <w:sz w:val="28"/>
          <w:szCs w:val="28"/>
          <w:u w:val="single"/>
        </w:rPr>
      </w:pPr>
      <w:r>
        <w:rPr>
          <w:rFonts w:hint="eastAsia" w:ascii="仿宋" w:hAnsi="仿宋" w:eastAsia="仿宋"/>
          <w:color w:val="000000"/>
          <w:sz w:val="28"/>
          <w:szCs w:val="28"/>
        </w:rPr>
        <w:t>7.特别说明事项：</w:t>
      </w:r>
      <w:r>
        <w:rPr>
          <w:rFonts w:hint="eastAsia" w:ascii="仿宋" w:hAnsi="仿宋" w:eastAsia="仿宋"/>
          <w:color w:val="000000"/>
          <w:sz w:val="28"/>
          <w:szCs w:val="28"/>
          <w:u w:val="single"/>
        </w:rPr>
        <w:t xml:space="preserve">                                           </w:t>
      </w:r>
    </w:p>
    <w:p>
      <w:pPr>
        <w:spacing w:line="560" w:lineRule="exact"/>
        <w:ind w:firstLine="565" w:firstLineChars="202"/>
        <w:rPr>
          <w:rFonts w:hint="eastAsia" w:ascii="仿宋" w:hAnsi="仿宋" w:eastAsia="仿宋"/>
          <w:color w:val="000000"/>
          <w:sz w:val="28"/>
          <w:szCs w:val="28"/>
          <w:u w:val="single"/>
        </w:rPr>
      </w:pPr>
      <w:r>
        <w:rPr>
          <w:rFonts w:hint="eastAsia"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8.本合同一式三份，甲方执二份、乙方执一份，自双方签署之日起生效。本合同签署于20</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甲方(盖章):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签约代表人：</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乙方(盖章):</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签约代表人： </w:t>
      </w:r>
    </w:p>
    <w:p>
      <w:pPr>
        <w:spacing w:line="360" w:lineRule="auto"/>
        <w:rPr>
          <w:rFonts w:ascii="宋体" w:hAnsi="宋体"/>
          <w:color w:val="000000"/>
          <w:sz w:val="28"/>
          <w:szCs w:val="28"/>
        </w:rPr>
      </w:pPr>
      <w:r>
        <w:rPr>
          <w:rFonts w:hint="eastAsia" w:ascii="宋体" w:hAnsi="宋体"/>
          <w:color w:val="000000"/>
          <w:sz w:val="28"/>
          <w:szCs w:val="28"/>
        </w:rPr>
        <w:t xml:space="preserve"> </w:t>
      </w:r>
    </w:p>
    <w:p>
      <w:pPr>
        <w:rPr>
          <w:rFonts w:ascii="宋体" w:hAnsi="宋体"/>
          <w:color w:val="000000"/>
          <w:sz w:val="28"/>
          <w:szCs w:val="28"/>
        </w:rPr>
      </w:pPr>
    </w:p>
    <w:p>
      <w:pPr>
        <w:rPr>
          <w:rFonts w:ascii="幼圆" w:hAnsi="宋体" w:eastAsia="幼圆"/>
          <w:b/>
          <w:color w:val="000000"/>
          <w:sz w:val="28"/>
          <w:szCs w:val="28"/>
        </w:rPr>
      </w:pPr>
      <w:r>
        <w:rPr>
          <w:rFonts w:hint="eastAsia" w:ascii="幼圆" w:hAnsi="宋体" w:eastAsia="幼圆"/>
          <w:b/>
          <w:color w:val="000000"/>
          <w:sz w:val="28"/>
          <w:szCs w:val="28"/>
        </w:rPr>
        <w:t>附件7: 养殖生产安全工作责任书</w:t>
      </w:r>
    </w:p>
    <w:p>
      <w:pPr>
        <w:spacing w:line="720" w:lineRule="auto"/>
        <w:jc w:val="center"/>
        <w:rPr>
          <w:rFonts w:ascii="宋体" w:hAnsi="宋体"/>
          <w:b/>
          <w:color w:val="000000"/>
          <w:sz w:val="32"/>
          <w:szCs w:val="32"/>
        </w:rPr>
      </w:pPr>
      <w:r>
        <w:rPr>
          <w:rFonts w:hint="eastAsia" w:ascii="宋体" w:hAnsi="宋体"/>
          <w:b/>
          <w:color w:val="000000"/>
          <w:sz w:val="32"/>
          <w:szCs w:val="32"/>
        </w:rPr>
        <w:t>养殖生产安全工作责任书</w:t>
      </w:r>
    </w:p>
    <w:p>
      <w:pPr>
        <w:spacing w:line="240" w:lineRule="exact"/>
        <w:ind w:firstLine="565" w:firstLineChars="202"/>
        <w:rPr>
          <w:rFonts w:ascii="仿宋" w:hAnsi="仿宋" w:eastAsia="仿宋"/>
          <w:color w:val="000000"/>
          <w:sz w:val="28"/>
          <w:szCs w:val="28"/>
        </w:rPr>
      </w:pPr>
    </w:p>
    <w:p>
      <w:pPr>
        <w:ind w:firstLine="565" w:firstLineChars="202"/>
        <w:rPr>
          <w:rFonts w:ascii="仿宋" w:hAnsi="仿宋" w:eastAsia="仿宋"/>
          <w:color w:val="000000"/>
          <w:sz w:val="28"/>
          <w:szCs w:val="28"/>
        </w:rPr>
      </w:pPr>
      <w:r>
        <w:rPr>
          <w:rFonts w:hint="eastAsia" w:ascii="仿宋" w:hAnsi="仿宋" w:eastAsia="仿宋"/>
          <w:color w:val="000000"/>
          <w:sz w:val="28"/>
          <w:szCs w:val="28"/>
        </w:rPr>
        <w:t>甲方(出租人):盐城市新滩盐场实业发展有限公司</w:t>
      </w:r>
    </w:p>
    <w:p>
      <w:pPr>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乙方(承租人):</w:t>
      </w:r>
      <w:r>
        <w:rPr>
          <w:rFonts w:hint="eastAsia" w:ascii="仿宋" w:hAnsi="仿宋" w:eastAsia="仿宋"/>
          <w:color w:val="000000"/>
          <w:sz w:val="28"/>
          <w:szCs w:val="28"/>
          <w:u w:val="single"/>
        </w:rPr>
        <w:t xml:space="preserve">                          </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以保障养殖生产安全为目的，重点抓好水产品的质量安全管理，防止各种生产事故发生，保证从业人员安全，保障群众生命财产安全，促进经济发展和社会稳定与和谐，特制订本责任状。</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一、目标任务</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努力完成公司及场下达行业领域内安全死亡责任事故为零的安全生产控制指标任务，防范养殖生产经营领域安全生产事故发生，保障经济社会健康持续发展。</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二、具体职责</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1.甲方要紧紧围绕养殖生产质量安全监管为中心，以长效机制的建设为重点，以落实目标责任制、加大宣传和查处力度、强化服务指导为手段加强生产环节监管力度。指导、监督乙方落实安全生产管理责任，加强  对水产养殖业的安全管理，宣传和推广安全养殖知识，防范养殖过程中各类安全事故的发生。</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2.落实责任，强化源头治理。乙方作为安全生产的第一责任人，对安全生产责任负全责，在生产中所发生的人身伤亡、火灾事故及经济损失由  乙方自行负责。乙方应主动接受甲方及上级部门的安全检查和监督，对于所提出的安全隐患必须立刻整改。</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3.甲方应广泛宣传水产品质量安全法规，提高水产品质量安全法规的安全意识，促进水产养殖业协调可持续发展。认真贯彻执行国家《中华人  民共和国渔业法》、《中华人民共和国农产品质量安全法》、《饲料和饲料添加剂管理条例》等，深化行政许可制度，严把市场准入关，严格  按照法律法规的规定，统一审查尺度，严格审查，强化服务意识，对检查中发现的问题及时提出整改意见，督促乙方继续完善养殖条件和质量保证体系，保证和提高水产品质量；对有违法违规问题的养殖企业或个人，在责令限期整改的同时，依法作出严厉处罚：对不具备养殖条件和存在重大违法行为的依法注销或撤销许可。</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三、其他</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1.本责任状一式肆份，甲方执叁份、乙方执壹份。</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2.本责任状解释权属于甲方。</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3.本责任状签署于20</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ind w:firstLine="565" w:firstLineChars="202"/>
        <w:rPr>
          <w:rFonts w:ascii="仿宋" w:hAnsi="仿宋" w:eastAsia="仿宋"/>
          <w:color w:val="000000"/>
          <w:sz w:val="28"/>
          <w:szCs w:val="28"/>
        </w:rPr>
      </w:pPr>
    </w:p>
    <w:p>
      <w:pPr>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甲方(盖章)： </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代表：</w:t>
      </w:r>
    </w:p>
    <w:p>
      <w:pPr>
        <w:ind w:firstLine="565" w:firstLineChars="202"/>
        <w:rPr>
          <w:rFonts w:ascii="仿宋" w:hAnsi="仿宋" w:eastAsia="仿宋"/>
          <w:color w:val="000000"/>
          <w:sz w:val="28"/>
          <w:szCs w:val="28"/>
        </w:rPr>
      </w:pP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乙方(盖章、签名手印)：</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 </w:t>
      </w:r>
    </w:p>
    <w:p>
      <w:pPr>
        <w:spacing w:line="360" w:lineRule="auto"/>
        <w:ind w:firstLine="565" w:firstLineChars="202"/>
        <w:rPr>
          <w:rFonts w:ascii="仿宋" w:hAnsi="仿宋" w:eastAsia="仿宋"/>
          <w:color w:val="000000"/>
          <w:sz w:val="28"/>
          <w:szCs w:val="28"/>
        </w:rPr>
      </w:pPr>
    </w:p>
    <w:p>
      <w:pPr>
        <w:spacing w:line="360" w:lineRule="auto"/>
        <w:jc w:val="left"/>
        <w:rPr>
          <w:rFonts w:ascii="幼圆" w:hAnsi="宋体" w:eastAsia="幼圆"/>
          <w:b/>
          <w:color w:val="000000"/>
          <w:sz w:val="28"/>
          <w:szCs w:val="28"/>
        </w:rPr>
      </w:pPr>
    </w:p>
    <w:p>
      <w:pPr>
        <w:spacing w:line="360" w:lineRule="auto"/>
        <w:jc w:val="left"/>
        <w:rPr>
          <w:rFonts w:ascii="幼圆" w:hAnsi="宋体" w:eastAsia="幼圆"/>
          <w:b/>
          <w:color w:val="000000"/>
          <w:sz w:val="28"/>
          <w:szCs w:val="28"/>
        </w:rPr>
      </w:pPr>
      <w:r>
        <w:rPr>
          <w:rFonts w:hint="eastAsia" w:ascii="幼圆" w:hAnsi="宋体" w:eastAsia="幼圆"/>
          <w:b/>
          <w:color w:val="000000"/>
          <w:sz w:val="28"/>
          <w:szCs w:val="28"/>
        </w:rPr>
        <w:t>附件8: 海淡水养殖管理规定</w:t>
      </w:r>
    </w:p>
    <w:p>
      <w:pPr>
        <w:spacing w:line="720" w:lineRule="auto"/>
        <w:jc w:val="center"/>
        <w:rPr>
          <w:rFonts w:ascii="宋体" w:hAnsi="宋体"/>
          <w:b/>
          <w:color w:val="000000"/>
          <w:sz w:val="32"/>
          <w:szCs w:val="32"/>
        </w:rPr>
      </w:pPr>
      <w:r>
        <w:rPr>
          <w:rFonts w:hint="eastAsia" w:ascii="宋体" w:hAnsi="宋体"/>
          <w:b/>
          <w:color w:val="000000"/>
          <w:sz w:val="32"/>
          <w:szCs w:val="32"/>
        </w:rPr>
        <w:t>海淡水养殖管理规定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为鼓励水产养殖单位和个人发展健康养殖，减少水产养殖病害发生；控  制养殖用药，保证养殖水产品质量安全；推广生态养殖，保护养殖环境。根据《中华人民共和国渔业法》等法律、行政法规，制定本条例：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第一章 养殖用水</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第一条 水产养殖用水应当符合农业部《无公害食品海水养殖用水水质》(NY5052-200)或《无公害食品淡水养殖用水水质》(NY5051-2001)等标准，禁止将不符合水质标准的水源用于水产养殖。</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第二条 水产养殖单位和个人应当定期监测养殖用水水质。</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养殖用水水源受到污染时，应当立即停止使用；确需使用的，应当经过净化处理达到养殖用水水质标准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养殖水体水质不符合养殖用水水质标准时，应当立即采取措施进行处理。经处理后仍达不到要求的，应当停止养殖活动，并向当地渔业行政主管部门报告</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第三条 养殖场或池塘的进排水系统应当分开。水产养殖废水排放应当达到国家规定的排放标准。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第二章 养殖生产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第四条 应当根据水产养殖规划要求，合理确定用于水产养殖的水域和滩涂，同时根据水域滩涂环境状况划分养殖功能区，合理安排养殖生产布局，科学确定养殖规模、养殖方式。</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第五条 使用水域、滩涂从事水产养殖的单位和个人应当按有关规定申领养殖证，并按核准的区域、规模从事养殖生产。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第六条 水产养殖生产应当符合国家有关养殖技术规范操作要求。水产养殖单位和个人应当配置与养殖水体和生产能力相适应的水处理设施和相应的水质、水生生物检测等基础性仪器设备。水产养殖使用的苗种应当符合国家或地方质量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第七条 水产养殖专业技术人员应当逐步按国家有关就业准入要求，经过职业技能培训并获得职业资格证书后，方能上岗。</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第八条 水产养殖单位和个人应当填写《水产养殖生产记录》,记载养殖种类、苗种来源及生长情况、饲料来源及投喂情况、水质变化等内容。《水产养殖生产记录》应当保存至该批水产品全部销售后2年以上。第九条销售的养殖水产品应当符合国家或地方的有关标准。不符合标准的产品应当进行净化处理，净化处理后仍不符合标准的产品禁止销售。第十条使用渔用饲料应当符合《饲料和饲料添加剂管理条例》和农业部《无公害食品渔用饲料安全限量》(NY5072-2002)。鼓励使用配合饲料限制直接投喂冰鲜(冻)饵料，防止残饵污染水质。禁止使用无产品质量标准、无质量检验合格证、无生产许可证和产品批准文号的饲料、饲料添加剂。禁止使用变质和过期饲料</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第十一条 使用水产养殖用药应当符合《兽药管理条例》和农业部《无公害食品渔药使用准则》(NY5071-2002)。使用药物的养殖水产品在休药期内不得用于人类食品消费。禁止使用假、劣兽药及农业部规定禁止使用的药品、其他化合物和生物制剂。原料药不得直接用于水产养殖。</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第十二条 水产养殖单位和个人应当按照水产养殖用药使用说明书的要求或在水生生物病害防治员的指导下科学用药。水生生物病害防治员应当按照有关就业准入的要求，经过职业技能培训并获得职业资格证书后，方能上岗。</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第十三条 水产养殖单位和个人应当填写《水产养殖用药记录》,记载病害发生情况，主要症状，用药名称、时间、用量等内容。《水产养殖用药记录》应当保存至该批水产品全部销售后2年以上。水产养殖单位和个人应当接受县级以上人民政府渔业行政主管部门组织的养殖水产品药物残留抽样检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第三章 附则</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本条例自养殖池塘承包合同签订生效日起施行，对承包人具有约束力，并构成租赁合同的组成部分。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承租人签字确认：</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二〇二四年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560" w:lineRule="exact"/>
        <w:rPr>
          <w:rFonts w:ascii="仿宋" w:hAnsi="仿宋" w:eastAsia="仿宋"/>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jc w:val="left"/>
        <w:rPr>
          <w:rFonts w:ascii="幼圆" w:hAnsi="宋体" w:eastAsia="幼圆"/>
          <w:b/>
          <w:color w:val="000000"/>
          <w:sz w:val="28"/>
          <w:szCs w:val="28"/>
        </w:rPr>
      </w:pPr>
      <w:r>
        <w:rPr>
          <w:rFonts w:hint="eastAsia" w:ascii="幼圆" w:hAnsi="宋体" w:eastAsia="幼圆"/>
          <w:b/>
          <w:color w:val="000000"/>
          <w:sz w:val="28"/>
          <w:szCs w:val="28"/>
        </w:rPr>
        <w:t>附件9: 租赁资产交接确认单</w:t>
      </w:r>
    </w:p>
    <w:p>
      <w:pPr>
        <w:spacing w:line="720" w:lineRule="auto"/>
        <w:jc w:val="center"/>
        <w:rPr>
          <w:rFonts w:ascii="宋体" w:hAnsi="宋体"/>
          <w:b/>
          <w:color w:val="000000"/>
          <w:sz w:val="32"/>
          <w:szCs w:val="32"/>
        </w:rPr>
      </w:pPr>
      <w:r>
        <w:rPr>
          <w:rFonts w:hint="eastAsia" w:ascii="宋体" w:hAnsi="宋体"/>
          <w:b/>
          <w:color w:val="000000"/>
          <w:sz w:val="32"/>
          <w:szCs w:val="32"/>
        </w:rPr>
        <w:t>租赁资产交接确认单</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甲方(出租人):盐城市新滩盐场实业发展有限公司</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乙方(承租人):</w:t>
      </w:r>
      <w:r>
        <w:rPr>
          <w:rFonts w:hint="eastAsia"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一、出租人（甲方）与承租人（乙方）于20</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日签署的编号为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《池塘租赁合同》中所载明的租赁物，于今日已经全部交付给乙方接收和使用。在此，乙方确认已经收到租赁合同项下的全部租赁物，并认可所有租赁物符合租赁合同的相关约定。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二、水、电、路及涵闸、值班房等附属设施均以目前现状交于乙方。经实地勘察，乙方认为上述附属设施完全符合双方签订的《池塘租赁合同书》的相关约定。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三、乙方确认上述租赁物及其附属设施设备已经全部收到，并认可其实际状况，同意予以接受。今后，乙方不再对租赁物提出任何异议。</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四、本交接单作为租赁合同的附件，系租赁合同书的不可分割的部分，具有同等法律效力。</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接收方确认(盖章、签名手印):</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二〇</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560" w:lineRule="exact"/>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jc w:val="left"/>
        <w:rPr>
          <w:rFonts w:ascii="幼圆" w:hAnsi="宋体" w:eastAsia="幼圆"/>
          <w:b/>
          <w:color w:val="000000"/>
          <w:sz w:val="28"/>
          <w:szCs w:val="28"/>
        </w:rPr>
      </w:pPr>
      <w:r>
        <w:rPr>
          <w:rFonts w:hint="eastAsia" w:ascii="幼圆" w:hAnsi="宋体" w:eastAsia="幼圆"/>
          <w:b/>
          <w:color w:val="000000"/>
          <w:sz w:val="28"/>
          <w:szCs w:val="28"/>
        </w:rPr>
        <w:t>附件10: 确认书</w:t>
      </w:r>
    </w:p>
    <w:p>
      <w:pPr>
        <w:spacing w:line="720" w:lineRule="auto"/>
        <w:jc w:val="center"/>
        <w:rPr>
          <w:rFonts w:ascii="宋体" w:hAnsi="宋体"/>
          <w:b/>
          <w:color w:val="000000"/>
          <w:sz w:val="32"/>
          <w:szCs w:val="32"/>
        </w:rPr>
      </w:pPr>
      <w:r>
        <w:rPr>
          <w:rFonts w:hint="eastAsia" w:ascii="宋体" w:hAnsi="宋体"/>
          <w:b/>
          <w:color w:val="000000"/>
          <w:sz w:val="32"/>
          <w:szCs w:val="32"/>
        </w:rPr>
        <w:t>确 认 书</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我方与贵司于20</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日签署了编号为</w:t>
      </w:r>
      <w:r>
        <w:rPr>
          <w:rFonts w:hint="eastAsia" w:ascii="仿宋" w:hAnsi="仿宋" w:eastAsia="仿宋"/>
          <w:color w:val="000000"/>
          <w:sz w:val="28"/>
          <w:szCs w:val="28"/>
          <w:u w:val="single"/>
        </w:rPr>
        <w:t xml:space="preserve">                 </w:t>
      </w:r>
    </w:p>
    <w:p>
      <w:pPr>
        <w:spacing w:line="560" w:lineRule="exact"/>
        <w:rPr>
          <w:rFonts w:ascii="仿宋" w:hAnsi="仿宋" w:eastAsia="仿宋"/>
          <w:color w:val="000000"/>
          <w:sz w:val="28"/>
          <w:szCs w:val="28"/>
        </w:rPr>
      </w:pPr>
      <w:r>
        <w:rPr>
          <w:rFonts w:hint="eastAsia" w:ascii="仿宋" w:hAnsi="仿宋" w:eastAsia="仿宋"/>
          <w:color w:val="000000"/>
          <w:sz w:val="28"/>
          <w:szCs w:val="28"/>
        </w:rPr>
        <w:t>养殖池塘租赁合同（池塘承包合同），承租/承包了贵方经营管理的位于</w:t>
      </w:r>
    </w:p>
    <w:p>
      <w:pPr>
        <w:spacing w:line="560" w:lineRule="exact"/>
        <w:rPr>
          <w:rFonts w:ascii="仿宋" w:hAnsi="仿宋" w:eastAsia="仿宋"/>
          <w:color w:val="000000"/>
          <w:sz w:val="28"/>
          <w:szCs w:val="28"/>
          <w:u w:val="single"/>
        </w:rPr>
      </w:pP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的池塘/水库，合计</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块，合计</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亩。现该租赁/承包合同的期限已经届满，且知悉贵方拟对上述我方承租的池塘/水库对外进行公开竞租。对此，我方确认如下：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我方将按照贵方公布的2024年度第三次池塘招租方案的相关要求，及时报名参加上述池塘/水库的竞租。作为上述池塘/水库的原承租人，我方要求在本次招租过程中对上述池塘/水库享有在同等条件下的优先承租权。</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在本次公开竞租过程中，如果我方没有报名参加竞租上述池塘/水库的或者报名参加竞租但最终未能中标的，我方保证将在贵方组织的本次竞租会后两个月内清塘并向贵方交还上述池塘。如我方没有按时交还池塘的，我方同意承担贵方由此蒙受的所有经济损失并承担原租赁合同约定的各项违约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3、担保人对确认人（原承租人）的上述赔偿责任承担担保责任。</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确认人</w:t>
      </w:r>
      <w:r>
        <w:rPr>
          <w:rFonts w:hint="eastAsia" w:ascii="仿宋" w:hAnsi="仿宋" w:eastAsia="仿宋"/>
          <w:color w:val="000000"/>
          <w:sz w:val="28"/>
          <w:szCs w:val="28"/>
        </w:rPr>
        <w:t>（盖章、签名手印）:</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担保人（盖章、签名手印）：</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b/>
          <w:color w:val="000000"/>
          <w:sz w:val="28"/>
          <w:szCs w:val="28"/>
        </w:rPr>
      </w:pPr>
      <w:r>
        <w:rPr>
          <w:rFonts w:hint="eastAsia" w:ascii="仿宋" w:hAnsi="仿宋" w:eastAsia="仿宋"/>
          <w:color w:val="000000"/>
          <w:sz w:val="28"/>
          <w:szCs w:val="28"/>
        </w:rPr>
        <w:t>二〇二四年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360" w:lineRule="auto"/>
        <w:rPr>
          <w:rFonts w:ascii="幼圆" w:hAnsi="宋体" w:eastAsia="幼圆"/>
          <w:b/>
          <w:color w:val="000000"/>
          <w:sz w:val="28"/>
          <w:szCs w:val="28"/>
        </w:rPr>
      </w:pPr>
    </w:p>
    <w:p>
      <w:pPr>
        <w:spacing w:line="360" w:lineRule="auto"/>
        <w:rPr>
          <w:rFonts w:ascii="幼圆" w:hAnsi="宋体" w:eastAsia="幼圆"/>
          <w:b/>
          <w:color w:val="000000"/>
          <w:sz w:val="28"/>
          <w:szCs w:val="28"/>
        </w:rPr>
      </w:pPr>
      <w:r>
        <w:rPr>
          <w:rFonts w:hint="eastAsia" w:ascii="幼圆" w:hAnsi="宋体" w:eastAsia="幼圆"/>
          <w:b/>
          <w:color w:val="000000"/>
          <w:sz w:val="28"/>
          <w:szCs w:val="28"/>
        </w:rPr>
        <w:t>附件11：竞租报价表</w:t>
      </w:r>
    </w:p>
    <w:p>
      <w:pPr>
        <w:spacing w:line="720" w:lineRule="auto"/>
        <w:jc w:val="center"/>
        <w:rPr>
          <w:rFonts w:ascii="宋体" w:hAnsi="宋体"/>
          <w:b/>
          <w:color w:val="000000"/>
          <w:sz w:val="32"/>
          <w:szCs w:val="32"/>
        </w:rPr>
      </w:pPr>
      <w:r>
        <w:rPr>
          <w:rFonts w:hint="eastAsia" w:ascii="宋体" w:hAnsi="宋体"/>
          <w:b/>
          <w:color w:val="000000"/>
          <w:sz w:val="32"/>
          <w:szCs w:val="32"/>
        </w:rPr>
        <w:t>竞租报价表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3118"/>
        <w:gridCol w:w="241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line="400" w:lineRule="exact"/>
              <w:jc w:val="center"/>
              <w:rPr>
                <w:rFonts w:ascii="仿宋" w:hAnsi="仿宋" w:eastAsia="仿宋"/>
                <w:b/>
                <w:color w:val="000000"/>
                <w:kern w:val="0"/>
                <w:sz w:val="28"/>
                <w:szCs w:val="28"/>
              </w:rPr>
            </w:pPr>
            <w:r>
              <w:rPr>
                <w:rFonts w:ascii="仿宋" w:hAnsi="仿宋" w:eastAsia="仿宋"/>
                <w:b/>
                <w:color w:val="000000"/>
                <w:kern w:val="0"/>
                <w:sz w:val="28"/>
                <w:szCs w:val="28"/>
              </w:rPr>
              <w:t>意向池塘</w:t>
            </w:r>
            <w:r>
              <w:rPr>
                <w:rFonts w:hint="eastAsia" w:ascii="仿宋" w:hAnsi="仿宋" w:eastAsia="仿宋"/>
                <w:b/>
                <w:color w:val="000000"/>
                <w:kern w:val="0"/>
                <w:sz w:val="28"/>
                <w:szCs w:val="28"/>
              </w:rPr>
              <w:t>标段号</w:t>
            </w:r>
          </w:p>
        </w:tc>
        <w:tc>
          <w:tcPr>
            <w:tcW w:w="3118" w:type="dxa"/>
            <w:shd w:val="clear" w:color="auto" w:fill="auto"/>
            <w:vAlign w:val="center"/>
          </w:tcPr>
          <w:p>
            <w:pPr>
              <w:spacing w:line="400" w:lineRule="exact"/>
              <w:jc w:val="center"/>
              <w:rPr>
                <w:rFonts w:ascii="仿宋" w:hAnsi="仿宋" w:eastAsia="仿宋"/>
                <w:b/>
                <w:color w:val="000000"/>
                <w:kern w:val="0"/>
                <w:sz w:val="28"/>
                <w:szCs w:val="28"/>
              </w:rPr>
            </w:pPr>
            <w:r>
              <w:rPr>
                <w:rFonts w:ascii="仿宋" w:hAnsi="仿宋" w:eastAsia="仿宋"/>
                <w:b/>
                <w:color w:val="000000"/>
                <w:kern w:val="0"/>
                <w:sz w:val="28"/>
                <w:szCs w:val="28"/>
              </w:rPr>
              <w:t>竞租报价</w:t>
            </w:r>
          </w:p>
          <w:p>
            <w:pPr>
              <w:spacing w:line="40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（每亩每年人民币元）</w:t>
            </w:r>
          </w:p>
        </w:tc>
        <w:tc>
          <w:tcPr>
            <w:tcW w:w="2410" w:type="dxa"/>
            <w:shd w:val="clear" w:color="auto" w:fill="auto"/>
            <w:vAlign w:val="center"/>
          </w:tcPr>
          <w:p>
            <w:pPr>
              <w:spacing w:line="400" w:lineRule="exact"/>
              <w:jc w:val="center"/>
              <w:rPr>
                <w:rFonts w:ascii="仿宋" w:hAnsi="仿宋" w:eastAsia="仿宋"/>
                <w:b/>
                <w:color w:val="000000"/>
                <w:kern w:val="0"/>
                <w:sz w:val="28"/>
                <w:szCs w:val="28"/>
              </w:rPr>
            </w:pPr>
            <w:r>
              <w:rPr>
                <w:rFonts w:ascii="仿宋" w:hAnsi="仿宋" w:eastAsia="仿宋"/>
                <w:b/>
                <w:color w:val="000000"/>
                <w:kern w:val="0"/>
                <w:sz w:val="28"/>
                <w:szCs w:val="28"/>
              </w:rPr>
              <w:t>是否</w:t>
            </w:r>
            <w:r>
              <w:rPr>
                <w:rFonts w:hint="eastAsia" w:ascii="仿宋" w:hAnsi="仿宋" w:eastAsia="仿宋"/>
                <w:b/>
                <w:color w:val="000000"/>
                <w:kern w:val="0"/>
                <w:sz w:val="28"/>
                <w:szCs w:val="28"/>
              </w:rPr>
              <w:t>为</w:t>
            </w:r>
            <w:r>
              <w:rPr>
                <w:rFonts w:ascii="仿宋" w:hAnsi="仿宋" w:eastAsia="仿宋"/>
                <w:b/>
                <w:color w:val="000000"/>
                <w:kern w:val="0"/>
                <w:sz w:val="28"/>
                <w:szCs w:val="28"/>
              </w:rPr>
              <w:t>原承租人</w:t>
            </w:r>
          </w:p>
        </w:tc>
        <w:tc>
          <w:tcPr>
            <w:tcW w:w="1134" w:type="dxa"/>
            <w:shd w:val="clear" w:color="auto" w:fill="auto"/>
            <w:vAlign w:val="center"/>
          </w:tcPr>
          <w:p>
            <w:pPr>
              <w:spacing w:line="400" w:lineRule="exact"/>
              <w:jc w:val="center"/>
              <w:rPr>
                <w:rFonts w:ascii="仿宋" w:hAnsi="仿宋" w:eastAsia="仿宋"/>
                <w:b/>
                <w:color w:val="000000"/>
                <w:kern w:val="0"/>
                <w:sz w:val="28"/>
                <w:szCs w:val="28"/>
              </w:rPr>
            </w:pPr>
            <w:r>
              <w:rPr>
                <w:rFonts w:ascii="仿宋" w:hAnsi="仿宋" w:eastAsia="仿宋"/>
                <w:b/>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pPr>
              <w:spacing w:line="360" w:lineRule="auto"/>
              <w:rPr>
                <w:rFonts w:ascii="仿宋" w:hAnsi="仿宋" w:eastAsia="仿宋"/>
                <w:color w:val="000000"/>
                <w:kern w:val="0"/>
                <w:sz w:val="28"/>
                <w:szCs w:val="28"/>
              </w:rPr>
            </w:pPr>
          </w:p>
        </w:tc>
        <w:tc>
          <w:tcPr>
            <w:tcW w:w="3118" w:type="dxa"/>
            <w:shd w:val="clear" w:color="auto" w:fill="auto"/>
          </w:tcPr>
          <w:p>
            <w:pPr>
              <w:spacing w:line="360" w:lineRule="auto"/>
              <w:rPr>
                <w:rFonts w:ascii="仿宋" w:hAnsi="仿宋" w:eastAsia="仿宋"/>
                <w:color w:val="000000"/>
                <w:kern w:val="0"/>
                <w:sz w:val="28"/>
                <w:szCs w:val="28"/>
              </w:rPr>
            </w:pPr>
          </w:p>
        </w:tc>
        <w:tc>
          <w:tcPr>
            <w:tcW w:w="2410" w:type="dxa"/>
            <w:shd w:val="clear" w:color="auto" w:fill="auto"/>
          </w:tcPr>
          <w:p>
            <w:pPr>
              <w:spacing w:line="360" w:lineRule="auto"/>
              <w:rPr>
                <w:rFonts w:ascii="仿宋" w:hAnsi="仿宋" w:eastAsia="仿宋"/>
                <w:color w:val="000000"/>
                <w:kern w:val="0"/>
                <w:sz w:val="28"/>
                <w:szCs w:val="28"/>
              </w:rPr>
            </w:pPr>
          </w:p>
        </w:tc>
        <w:tc>
          <w:tcPr>
            <w:tcW w:w="1134" w:type="dxa"/>
            <w:shd w:val="clear" w:color="auto" w:fill="auto"/>
          </w:tcPr>
          <w:p>
            <w:pPr>
              <w:spacing w:line="360" w:lineRule="auto"/>
              <w:rPr>
                <w:rFonts w:ascii="仿宋" w:hAnsi="仿宋" w:eastAsia="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pPr>
              <w:spacing w:line="360" w:lineRule="auto"/>
              <w:rPr>
                <w:rFonts w:ascii="仿宋" w:hAnsi="仿宋" w:eastAsia="仿宋"/>
                <w:color w:val="000000"/>
                <w:kern w:val="0"/>
                <w:sz w:val="28"/>
                <w:szCs w:val="28"/>
              </w:rPr>
            </w:pPr>
          </w:p>
        </w:tc>
        <w:tc>
          <w:tcPr>
            <w:tcW w:w="3118" w:type="dxa"/>
            <w:shd w:val="clear" w:color="auto" w:fill="auto"/>
          </w:tcPr>
          <w:p>
            <w:pPr>
              <w:spacing w:line="360" w:lineRule="auto"/>
              <w:rPr>
                <w:rFonts w:ascii="仿宋" w:hAnsi="仿宋" w:eastAsia="仿宋"/>
                <w:color w:val="000000"/>
                <w:kern w:val="0"/>
                <w:sz w:val="28"/>
                <w:szCs w:val="28"/>
              </w:rPr>
            </w:pPr>
          </w:p>
        </w:tc>
        <w:tc>
          <w:tcPr>
            <w:tcW w:w="2410" w:type="dxa"/>
            <w:shd w:val="clear" w:color="auto" w:fill="auto"/>
          </w:tcPr>
          <w:p>
            <w:pPr>
              <w:spacing w:line="360" w:lineRule="auto"/>
              <w:rPr>
                <w:rFonts w:ascii="仿宋" w:hAnsi="仿宋" w:eastAsia="仿宋"/>
                <w:color w:val="000000"/>
                <w:kern w:val="0"/>
                <w:sz w:val="28"/>
                <w:szCs w:val="28"/>
              </w:rPr>
            </w:pPr>
          </w:p>
        </w:tc>
        <w:tc>
          <w:tcPr>
            <w:tcW w:w="1134" w:type="dxa"/>
            <w:shd w:val="clear" w:color="auto" w:fill="auto"/>
          </w:tcPr>
          <w:p>
            <w:pPr>
              <w:spacing w:line="360" w:lineRule="auto"/>
              <w:rPr>
                <w:rFonts w:ascii="仿宋" w:hAnsi="仿宋" w:eastAsia="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pPr>
              <w:spacing w:line="360" w:lineRule="auto"/>
              <w:rPr>
                <w:rFonts w:ascii="仿宋" w:hAnsi="仿宋" w:eastAsia="仿宋"/>
                <w:color w:val="000000"/>
                <w:kern w:val="0"/>
                <w:sz w:val="28"/>
                <w:szCs w:val="28"/>
              </w:rPr>
            </w:pPr>
          </w:p>
        </w:tc>
        <w:tc>
          <w:tcPr>
            <w:tcW w:w="3118" w:type="dxa"/>
            <w:shd w:val="clear" w:color="auto" w:fill="auto"/>
          </w:tcPr>
          <w:p>
            <w:pPr>
              <w:spacing w:line="360" w:lineRule="auto"/>
              <w:rPr>
                <w:rFonts w:ascii="仿宋" w:hAnsi="仿宋" w:eastAsia="仿宋"/>
                <w:color w:val="000000"/>
                <w:kern w:val="0"/>
                <w:sz w:val="28"/>
                <w:szCs w:val="28"/>
              </w:rPr>
            </w:pPr>
          </w:p>
        </w:tc>
        <w:tc>
          <w:tcPr>
            <w:tcW w:w="2410" w:type="dxa"/>
            <w:shd w:val="clear" w:color="auto" w:fill="auto"/>
          </w:tcPr>
          <w:p>
            <w:pPr>
              <w:spacing w:line="360" w:lineRule="auto"/>
              <w:rPr>
                <w:rFonts w:ascii="仿宋" w:hAnsi="仿宋" w:eastAsia="仿宋"/>
                <w:color w:val="000000"/>
                <w:kern w:val="0"/>
                <w:sz w:val="28"/>
                <w:szCs w:val="28"/>
              </w:rPr>
            </w:pPr>
          </w:p>
        </w:tc>
        <w:tc>
          <w:tcPr>
            <w:tcW w:w="1134" w:type="dxa"/>
            <w:shd w:val="clear" w:color="auto" w:fill="auto"/>
          </w:tcPr>
          <w:p>
            <w:pPr>
              <w:spacing w:line="360" w:lineRule="auto"/>
              <w:rPr>
                <w:rFonts w:ascii="仿宋" w:hAnsi="仿宋" w:eastAsia="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pPr>
              <w:spacing w:line="360" w:lineRule="auto"/>
              <w:rPr>
                <w:rFonts w:ascii="仿宋" w:hAnsi="仿宋" w:eastAsia="仿宋"/>
                <w:color w:val="000000"/>
                <w:kern w:val="0"/>
                <w:sz w:val="28"/>
                <w:szCs w:val="28"/>
              </w:rPr>
            </w:pPr>
          </w:p>
        </w:tc>
        <w:tc>
          <w:tcPr>
            <w:tcW w:w="3118" w:type="dxa"/>
            <w:shd w:val="clear" w:color="auto" w:fill="auto"/>
          </w:tcPr>
          <w:p>
            <w:pPr>
              <w:spacing w:line="360" w:lineRule="auto"/>
              <w:rPr>
                <w:rFonts w:ascii="仿宋" w:hAnsi="仿宋" w:eastAsia="仿宋"/>
                <w:color w:val="000000"/>
                <w:kern w:val="0"/>
                <w:sz w:val="28"/>
                <w:szCs w:val="28"/>
              </w:rPr>
            </w:pPr>
          </w:p>
        </w:tc>
        <w:tc>
          <w:tcPr>
            <w:tcW w:w="2410" w:type="dxa"/>
            <w:shd w:val="clear" w:color="auto" w:fill="auto"/>
          </w:tcPr>
          <w:p>
            <w:pPr>
              <w:spacing w:line="360" w:lineRule="auto"/>
              <w:rPr>
                <w:rFonts w:ascii="仿宋" w:hAnsi="仿宋" w:eastAsia="仿宋"/>
                <w:color w:val="000000"/>
                <w:kern w:val="0"/>
                <w:sz w:val="28"/>
                <w:szCs w:val="28"/>
              </w:rPr>
            </w:pPr>
          </w:p>
        </w:tc>
        <w:tc>
          <w:tcPr>
            <w:tcW w:w="1134" w:type="dxa"/>
            <w:shd w:val="clear" w:color="auto" w:fill="auto"/>
          </w:tcPr>
          <w:p>
            <w:pPr>
              <w:spacing w:line="360" w:lineRule="auto"/>
              <w:rPr>
                <w:rFonts w:ascii="仿宋" w:hAnsi="仿宋" w:eastAsia="仿宋"/>
                <w:color w:val="000000"/>
                <w:kern w:val="0"/>
                <w:sz w:val="28"/>
                <w:szCs w:val="28"/>
              </w:rPr>
            </w:pPr>
          </w:p>
        </w:tc>
      </w:tr>
    </w:tbl>
    <w:p>
      <w:pPr>
        <w:spacing w:line="360" w:lineRule="auto"/>
        <w:rPr>
          <w:rFonts w:ascii="仿宋" w:hAnsi="仿宋" w:eastAsia="仿宋"/>
          <w:b/>
          <w:color w:val="000000"/>
          <w:sz w:val="28"/>
          <w:szCs w:val="28"/>
        </w:rPr>
      </w:pPr>
      <w:r>
        <w:rPr>
          <w:rFonts w:hint="eastAsia" w:ascii="仿宋" w:hAnsi="仿宋" w:eastAsia="仿宋"/>
          <w:b/>
          <w:color w:val="000000"/>
          <w:sz w:val="28"/>
          <w:szCs w:val="28"/>
        </w:rPr>
        <w:t>注意：第2标段A、B区请分别报价。</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 xml:space="preserve">竞租人： </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法定代表人：</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委托代理人：</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p>
    <w:p>
      <w:pPr>
        <w:spacing w:line="360" w:lineRule="auto"/>
        <w:ind w:firstLine="565" w:firstLineChars="202"/>
        <w:rPr>
          <w:rFonts w:ascii="仿宋" w:hAnsi="仿宋" w:eastAsia="仿宋"/>
          <w:color w:val="000000"/>
          <w:sz w:val="28"/>
          <w:szCs w:val="28"/>
        </w:rPr>
      </w:pPr>
      <w:r>
        <w:rPr>
          <w:rFonts w:hint="eastAsia" w:ascii="仿宋" w:hAnsi="仿宋" w:eastAsia="仿宋"/>
          <w:color w:val="000000"/>
          <w:sz w:val="28"/>
          <w:szCs w:val="28"/>
        </w:rPr>
        <w:t>时间：2024年  月  日</w:t>
      </w:r>
    </w:p>
    <w:p>
      <w:pPr>
        <w:spacing w:line="360" w:lineRule="auto"/>
        <w:ind w:firstLine="565" w:firstLineChars="202"/>
        <w:rPr>
          <w:rFonts w:ascii="仿宋" w:hAnsi="仿宋" w:eastAsia="仿宋"/>
          <w:color w:val="000000"/>
          <w:sz w:val="28"/>
          <w:szCs w:val="28"/>
        </w:rPr>
      </w:pP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r>
        <w:rPr>
          <w:rFonts w:hint="eastAsia" w:ascii="幼圆" w:hAnsi="仿宋" w:eastAsia="幼圆"/>
          <w:b/>
          <w:color w:val="000000"/>
          <w:sz w:val="28"/>
          <w:szCs w:val="28"/>
        </w:rPr>
        <w:t>附件12：授权委托书</w:t>
      </w:r>
    </w:p>
    <w:p>
      <w:pPr>
        <w:spacing w:line="720" w:lineRule="auto"/>
        <w:jc w:val="center"/>
        <w:rPr>
          <w:rFonts w:ascii="宋体" w:hAnsi="宋体"/>
          <w:b/>
          <w:color w:val="000000"/>
          <w:sz w:val="32"/>
          <w:szCs w:val="32"/>
        </w:rPr>
      </w:pPr>
      <w:r>
        <w:rPr>
          <w:rFonts w:hint="eastAsia" w:ascii="宋体" w:hAnsi="宋体"/>
          <w:b/>
          <w:color w:val="000000"/>
          <w:sz w:val="32"/>
          <w:szCs w:val="32"/>
        </w:rPr>
        <w:t>授权委托书</w:t>
      </w:r>
    </w:p>
    <w:p>
      <w:pPr>
        <w:spacing w:line="560" w:lineRule="exact"/>
        <w:rPr>
          <w:rFonts w:ascii="仿宋" w:hAnsi="仿宋" w:eastAsia="仿宋"/>
          <w:color w:val="000000"/>
          <w:sz w:val="28"/>
          <w:szCs w:val="28"/>
        </w:rPr>
      </w:pPr>
      <w:r>
        <w:rPr>
          <w:rFonts w:hint="eastAsia" w:ascii="仿宋" w:hAnsi="仿宋" w:eastAsia="仿宋"/>
          <w:color w:val="000000"/>
          <w:sz w:val="28"/>
          <w:szCs w:val="28"/>
        </w:rPr>
        <w:t>致出租人:盐城市新滩盐场实业发展有限公司</w:t>
      </w:r>
    </w:p>
    <w:p>
      <w:pPr>
        <w:spacing w:line="240" w:lineRule="exact"/>
        <w:rPr>
          <w:rFonts w:ascii="仿宋" w:hAnsi="仿宋" w:eastAsia="仿宋"/>
          <w:b/>
          <w:color w:val="000000"/>
          <w:sz w:val="28"/>
          <w:szCs w:val="28"/>
        </w:rPr>
      </w:pPr>
    </w:p>
    <w:p>
      <w:pPr>
        <w:spacing w:line="54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 xml:space="preserve"> 兹因我单位参加贵方2024年度</w:t>
      </w:r>
      <w:r>
        <w:rPr>
          <w:rFonts w:hint="eastAsia" w:ascii="仿宋" w:hAnsi="仿宋" w:eastAsia="仿宋"/>
          <w:sz w:val="28"/>
          <w:szCs w:val="28"/>
        </w:rPr>
        <w:t>第三次</w:t>
      </w:r>
      <w:r>
        <w:rPr>
          <w:rFonts w:hint="eastAsia" w:ascii="仿宋" w:hAnsi="仿宋" w:eastAsia="仿宋"/>
          <w:color w:val="000000"/>
          <w:sz w:val="28"/>
          <w:szCs w:val="28"/>
        </w:rPr>
        <w:t>养殖池塘（零星池塘）的招租，现委托我单位正式职工</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同志（身份证号码</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）作为我方代理人，代表我方参加池塘竞租活动。该同志在贵方池塘招租过程中签署的任何文件资料，均视同我方签署，我方在任何时候、任何情况下均予以认可，并接受其所签署文件的约束。</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代理人有权代表我方签署或签收的文件，包括但不限于：</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（1）《声明书》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（2）《竞租池塘登记表》</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（3）《竞租报价表》</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（4）《中标确认书》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（5）《池塘租赁合同》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（6）《确认书》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（7）《承诺书》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（8）其他的池塘招租文件资料和招租过程的程序性文件资料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竞租人（委托单位）：</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法定代表人：</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联系电话：</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r>
        <w:rPr>
          <w:rFonts w:hint="eastAsia" w:ascii="仿宋" w:hAnsi="仿宋" w:eastAsia="仿宋"/>
          <w:color w:val="000000"/>
          <w:sz w:val="28"/>
          <w:szCs w:val="28"/>
        </w:rPr>
        <w:t>二〇二四年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日 </w:t>
      </w: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r>
        <w:rPr>
          <w:rFonts w:hint="eastAsia" w:ascii="幼圆" w:hAnsi="仿宋" w:eastAsia="幼圆"/>
          <w:b/>
          <w:color w:val="000000"/>
          <w:sz w:val="28"/>
          <w:szCs w:val="28"/>
        </w:rPr>
        <w:t>附件13：《池塘租赁合同担保书》</w:t>
      </w:r>
    </w:p>
    <w:p>
      <w:pPr>
        <w:spacing w:line="240" w:lineRule="exact"/>
        <w:ind w:firstLine="565" w:firstLineChars="202"/>
        <w:rPr>
          <w:rFonts w:ascii="仿宋" w:hAnsi="仿宋" w:eastAsia="仿宋"/>
          <w:color w:val="000000"/>
          <w:sz w:val="28"/>
          <w:szCs w:val="28"/>
        </w:rPr>
      </w:pPr>
    </w:p>
    <w:p>
      <w:pPr>
        <w:spacing w:line="480" w:lineRule="exact"/>
        <w:jc w:val="center"/>
        <w:rPr>
          <w:rFonts w:ascii="宋体" w:hAnsi="宋体"/>
          <w:b/>
          <w:color w:val="000000"/>
          <w:sz w:val="32"/>
          <w:szCs w:val="32"/>
        </w:rPr>
      </w:pPr>
      <w:r>
        <w:rPr>
          <w:rFonts w:hint="eastAsia" w:ascii="宋体" w:hAnsi="宋体"/>
          <w:b/>
          <w:color w:val="000000"/>
          <w:sz w:val="32"/>
          <w:szCs w:val="32"/>
        </w:rPr>
        <w:t>池塘租赁合同担保书</w:t>
      </w:r>
    </w:p>
    <w:p>
      <w:pPr>
        <w:spacing w:line="480" w:lineRule="exact"/>
        <w:rPr>
          <w:rFonts w:ascii="仿宋" w:hAnsi="仿宋" w:eastAsia="仿宋"/>
          <w:b/>
          <w:color w:val="000000"/>
          <w:sz w:val="28"/>
          <w:szCs w:val="28"/>
        </w:rPr>
      </w:pPr>
      <w:r>
        <w:rPr>
          <w:rFonts w:hint="eastAsia" w:ascii="仿宋" w:hAnsi="仿宋" w:eastAsia="仿宋"/>
          <w:b/>
          <w:color w:val="000000"/>
          <w:sz w:val="28"/>
          <w:szCs w:val="28"/>
        </w:rPr>
        <w:t>致出租人:盐城市新滩盐场实业发展有限公司</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担保人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（证件名称及编号：</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）是 □上市公司 □国有企业 □ 公务员。因竞租人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（证件名称及编号：</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）拟参加竞租贵方2024年度</w:t>
      </w:r>
      <w:r>
        <w:rPr>
          <w:rFonts w:hint="eastAsia" w:ascii="仿宋" w:hAnsi="仿宋" w:eastAsia="仿宋"/>
          <w:sz w:val="28"/>
          <w:szCs w:val="28"/>
        </w:rPr>
        <w:t>第三次养殖池塘（零星池塘）</w:t>
      </w:r>
      <w:r>
        <w:rPr>
          <w:rFonts w:hint="eastAsia" w:ascii="仿宋" w:hAnsi="仿宋" w:eastAsia="仿宋"/>
          <w:color w:val="000000"/>
          <w:sz w:val="28"/>
          <w:szCs w:val="28"/>
        </w:rPr>
        <w:t>公开招租的养殖池塘，我方同意为上述竞租人提供担保。如果上述竞租人在贵方本次池塘/水库招租过程中竞租成功的，由上述竞租人与贵方签署《池塘租赁合同》。我方愿意为竞租人在《池塘租赁合同》中的各项义务提供担保，如果竞租人存在违约、侵权行为的，由我方与竞租人一起向贵方承担违约责任或侵权责任，并且与竞租人一起向贵方承担池塘/水库租金的支付义务。</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担保期限为自本担保书出具之日起五年。担保期内，担保人保证上述承诺内容不可撤销、不可变更，并严格按照上述承诺履行。</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另外，如果竞租人是贵方原承租人/承包人的，本担保人对竞租人在不能竞租成功的情况下退还原承租池塘/水库的《确认书》提供担保，并同意为竞租人签署的《确认书》中的各项义务提供担保。</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担保人的送达地址：</w:t>
      </w:r>
      <w:r>
        <w:rPr>
          <w:rFonts w:hint="eastAsia" w:ascii="仿宋" w:hAnsi="仿宋" w:eastAsia="仿宋"/>
          <w:color w:val="000000"/>
          <w:sz w:val="28"/>
          <w:szCs w:val="28"/>
          <w:u w:val="single"/>
        </w:rPr>
        <w:t xml:space="preserve">                                                 </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担保人的联系电话：</w:t>
      </w:r>
      <w:r>
        <w:rPr>
          <w:rFonts w:hint="eastAsia" w:ascii="仿宋" w:hAnsi="仿宋" w:eastAsia="仿宋"/>
          <w:color w:val="000000"/>
          <w:sz w:val="28"/>
          <w:szCs w:val="28"/>
          <w:u w:val="single"/>
        </w:rPr>
        <w:t xml:space="preserve">                                                </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（担保人身份证明文件的复印件附后）</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 </w:t>
      </w:r>
    </w:p>
    <w:p>
      <w:pPr>
        <w:spacing w:line="480" w:lineRule="exact"/>
        <w:ind w:firstLine="3827" w:firstLineChars="1367"/>
        <w:rPr>
          <w:rFonts w:ascii="仿宋" w:hAnsi="仿宋" w:eastAsia="仿宋"/>
          <w:color w:val="000000"/>
          <w:sz w:val="28"/>
          <w:szCs w:val="28"/>
        </w:rPr>
      </w:pPr>
      <w:r>
        <w:rPr>
          <w:rFonts w:hint="eastAsia" w:ascii="仿宋" w:hAnsi="仿宋" w:eastAsia="仿宋"/>
          <w:color w:val="000000"/>
          <w:sz w:val="28"/>
          <w:szCs w:val="28"/>
        </w:rPr>
        <w:t>担保人（盖章/签字）：</w:t>
      </w:r>
    </w:p>
    <w:p>
      <w:pPr>
        <w:spacing w:line="360" w:lineRule="exact"/>
        <w:ind w:firstLine="3920" w:firstLineChars="1400"/>
        <w:rPr>
          <w:rFonts w:ascii="仿宋" w:hAnsi="仿宋" w:eastAsia="仿宋"/>
          <w:color w:val="000000"/>
          <w:sz w:val="28"/>
          <w:szCs w:val="28"/>
        </w:rPr>
      </w:pPr>
      <w:r>
        <w:rPr>
          <w:rFonts w:hint="eastAsia" w:ascii="仿宋" w:hAnsi="仿宋" w:eastAsia="仿宋"/>
          <w:color w:val="000000"/>
          <w:sz w:val="28"/>
          <w:szCs w:val="28"/>
        </w:rPr>
        <w:t xml:space="preserve"> </w:t>
      </w:r>
    </w:p>
    <w:p>
      <w:pPr>
        <w:spacing w:line="360" w:lineRule="exact"/>
        <w:ind w:firstLine="3920" w:firstLineChars="1400"/>
        <w:rPr>
          <w:rFonts w:ascii="仿宋" w:hAnsi="仿宋" w:eastAsia="仿宋"/>
          <w:color w:val="000000"/>
          <w:sz w:val="28"/>
          <w:szCs w:val="28"/>
        </w:rPr>
      </w:pPr>
    </w:p>
    <w:p>
      <w:pPr>
        <w:spacing w:line="360" w:lineRule="exact"/>
        <w:ind w:firstLine="3920" w:firstLineChars="1400"/>
        <w:rPr>
          <w:rFonts w:ascii="仿宋" w:hAnsi="仿宋" w:eastAsia="仿宋"/>
          <w:color w:val="000000"/>
          <w:szCs w:val="21"/>
        </w:rPr>
      </w:pPr>
      <w:r>
        <w:rPr>
          <w:rFonts w:hint="eastAsia" w:ascii="仿宋" w:hAnsi="仿宋" w:eastAsia="仿宋"/>
          <w:color w:val="000000"/>
          <w:sz w:val="28"/>
          <w:szCs w:val="28"/>
        </w:rPr>
        <w:t>二〇二四年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日 </w:t>
      </w:r>
    </w:p>
    <w:sectPr>
      <w:pgSz w:w="11906" w:h="16838"/>
      <w:pgMar w:top="1440" w:right="1276"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g">
          <w:drawing>
            <wp:anchor distT="0" distB="0" distL="114300" distR="114300" simplePos="0" relativeHeight="251662336" behindDoc="0" locked="0" layoutInCell="1" allowOverlap="1">
              <wp:simplePos x="0" y="0"/>
              <wp:positionH relativeFrom="page">
                <wp:posOffset>5080</wp:posOffset>
              </wp:positionH>
              <wp:positionV relativeFrom="page">
                <wp:posOffset>9782810</wp:posOffset>
              </wp:positionV>
              <wp:extent cx="6767830" cy="673100"/>
              <wp:effectExtent l="635" t="4445" r="13335" b="8255"/>
              <wp:wrapNone/>
              <wp:docPr id="11" name="组合 1030"/>
              <wp:cNvGraphicFramePr/>
              <a:graphic xmlns:a="http://schemas.openxmlformats.org/drawingml/2006/main">
                <a:graphicData uri="http://schemas.microsoft.com/office/word/2010/wordprocessingGroup">
                  <wpg:wgp>
                    <wpg:cNvGrpSpPr/>
                    <wpg:grpSpPr>
                      <a:xfrm>
                        <a:off x="0" y="0"/>
                        <a:ext cx="6767830" cy="673100"/>
                        <a:chOff x="15" y="14415"/>
                        <a:chExt cx="10658" cy="1060"/>
                      </a:xfrm>
                    </wpg:grpSpPr>
                    <wps:wsp>
                      <wps:cNvPr id="7" name="自选图形 1031"/>
                      <wps:cNvCnPr/>
                      <wps:spPr>
                        <a:xfrm>
                          <a:off x="15" y="14415"/>
                          <a:ext cx="10171" cy="1057"/>
                        </a:xfrm>
                        <a:prstGeom prst="straightConnector1">
                          <a:avLst/>
                        </a:prstGeom>
                        <a:ln w="9525" cap="flat" cmpd="sng">
                          <a:solidFill>
                            <a:srgbClr val="A7BFDE"/>
                          </a:solidFill>
                          <a:prstDash val="solid"/>
                          <a:headEnd type="none" w="med" len="med"/>
                          <a:tailEnd type="none" w="med" len="med"/>
                        </a:ln>
                      </wps:spPr>
                      <wps:bodyPr/>
                    </wps:wsp>
                    <wps:wsp>
                      <wps:cNvPr id="8" name="椭圆 1032"/>
                      <wps:cNvSpPr/>
                      <wps:spPr>
                        <a:xfrm>
                          <a:off x="9657" y="14459"/>
                          <a:ext cx="1016" cy="1016"/>
                        </a:xfrm>
                        <a:prstGeom prst="ellipse">
                          <a:avLst/>
                        </a:prstGeom>
                        <a:solidFill>
                          <a:srgbClr val="A7BFDE"/>
                        </a:solidFill>
                        <a:ln>
                          <a:noFill/>
                        </a:ln>
                      </wps:spPr>
                      <wps:bodyPr upright="1"/>
                    </wps:wsp>
                    <wps:wsp>
                      <wps:cNvPr id="9" name="椭圆 1033"/>
                      <wps:cNvSpPr/>
                      <wps:spPr>
                        <a:xfrm>
                          <a:off x="9733" y="14568"/>
                          <a:ext cx="908" cy="904"/>
                        </a:xfrm>
                        <a:prstGeom prst="ellipse">
                          <a:avLst/>
                        </a:prstGeom>
                        <a:solidFill>
                          <a:srgbClr val="D3DFEE"/>
                        </a:solidFill>
                        <a:ln>
                          <a:noFill/>
                        </a:ln>
                      </wps:spPr>
                      <wps:bodyPr upright="1"/>
                    </wps:wsp>
                    <wps:wsp>
                      <wps:cNvPr id="10" name="椭圆 1034"/>
                      <wps:cNvSpPr/>
                      <wps:spPr>
                        <a:xfrm>
                          <a:off x="9802" y="14688"/>
                          <a:ext cx="783" cy="784"/>
                        </a:xfrm>
                        <a:prstGeom prst="ellipse">
                          <a:avLst/>
                        </a:prstGeom>
                        <a:solidFill>
                          <a:srgbClr val="7BA0CD"/>
                        </a:solidFill>
                        <a:ln>
                          <a:noFill/>
                        </a:ln>
                      </wps:spPr>
                      <wps:txbx>
                        <w:txbxContent>
                          <w:p>
                            <w:pPr>
                              <w:pStyle w:val="7"/>
                              <w:rPr>
                                <w:rFonts w:ascii="宋体" w:hAnsi="宋体"/>
                                <w:color w:val="FFFFFF"/>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color w:val="FFFFFF"/>
                                <w:sz w:val="28"/>
                                <w:szCs w:val="28"/>
                                <w:lang w:val="zh-CN"/>
                              </w:rPr>
                              <w:t>31</w:t>
                            </w:r>
                            <w:r>
                              <w:rPr>
                                <w:rFonts w:ascii="宋体" w:hAnsi="宋体"/>
                                <w:sz w:val="28"/>
                                <w:szCs w:val="28"/>
                              </w:rPr>
                              <w:fldChar w:fldCharType="end"/>
                            </w:r>
                          </w:p>
                        </w:txbxContent>
                      </wps:txbx>
                      <wps:bodyPr anchor="ctr" anchorCtr="0" upright="1"/>
                    </wps:wsp>
                  </wpg:wgp>
                </a:graphicData>
              </a:graphic>
            </wp:anchor>
          </w:drawing>
        </mc:Choice>
        <mc:Fallback>
          <w:pict>
            <v:group id="组合 1030" o:spid="_x0000_s1026" o:spt="203" style="position:absolute;left:0pt;margin-left:0.4pt;margin-top:770.3pt;height:53pt;width:532.9pt;mso-position-horizontal-relative:page;mso-position-vertical-relative:page;z-index:251662336;mso-width-relative:page;mso-height-relative:page;" coordorigin="15,14415" coordsize="10658,1060" o:gfxdata="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DI&#10;Q9hq2AAAAAsBAAAPAAAAAAAAAAEAIAAAACIAAABkcnMvZG93bnJldi54bWxQSwECFAAUAAAACACH&#10;TuJAAF60SkEDAADeCQAADgAAAAAAAAABACAAAAAnAQAAZHJzL2Uyb0RvYy54bWxQSwUGAAAAAAYA&#10;BgBZAQAA2gYAAAAA&#10;">
              <o:lock v:ext="edit" aspectratio="f"/>
              <v:shape id="自选图形 1031" o:spid="_x0000_s1026" o:spt="32" type="#_x0000_t32" style="position:absolute;left:15;top:14415;height:1057;width:10171;" filled="f" stroked="t" coordsize="21600,21600" o:gfxdata="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IT5L4A&#10;AADaAAAADwAAAAAAAAABACAAAAAiAAAAZHJzL2Rvd25yZXYueG1sUEsBAhQAFAAAAAgAh07iQDMv&#10;BZ47AAAAOQAAABAAAAAAAAAAAQAgAAAADQEAAGRycy9zaGFwZXhtbC54bWxQSwUGAAAAAAYABgBb&#10;AQAAtwMAAAAA&#10;">
                <v:fill on="f" focussize="0,0"/>
                <v:stroke color="#A7BFDE" joinstyle="round"/>
                <v:imagedata o:title=""/>
                <o:lock v:ext="edit" aspectratio="f"/>
              </v:shape>
              <v:shape id="椭圆 1032" o:spid="_x0000_s1026" o:spt="3" type="#_x0000_t3" style="position:absolute;left:9657;top:14459;height:1016;width:1016;" fillcolor="#A7BFDE" filled="t" stroked="f" coordsize="21600,21600" o:gfxdata="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Q4cqS5AAAA2gAA&#10;AA8AAAAAAAAAAQAgAAAAIgAAAGRycy9kb3ducmV2LnhtbFBLAQIUABQAAAAIAIdO4kAzLwWeOwAA&#10;ADkAAAAQAAAAAAAAAAEAIAAAAAgBAABkcnMvc2hhcGV4bWwueG1sUEsFBgAAAAAGAAYAWwEAALID&#10;AAAAAA==&#10;">
                <v:fill on="t" focussize="0,0"/>
                <v:stroke on="f"/>
                <v:imagedata o:title=""/>
                <o:lock v:ext="edit" aspectratio="f"/>
              </v:shape>
              <v:shape id="椭圆 1033" o:spid="_x0000_s1026" o:spt="3" type="#_x0000_t3" style="position:absolute;left:9733;top:14568;height:904;width:908;" fillcolor="#D3DFEE" filled="t" stroked="f" coordsize="21600,21600" o:gfxdata="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DMZG74A&#10;AADaAAAADwAAAAAAAAABACAAAAAiAAAAZHJzL2Rvd25yZXYueG1sUEsBAhQAFAAAAAgAh07iQDMv&#10;BZ47AAAAOQAAABAAAAAAAAAAAQAgAAAADQEAAGRycy9zaGFwZXhtbC54bWxQSwUGAAAAAAYABgBb&#10;AQAAtwMAAAAA&#10;">
                <v:fill on="t" focussize="0,0"/>
                <v:stroke on="f"/>
                <v:imagedata o:title=""/>
                <o:lock v:ext="edit" aspectratio="f"/>
              </v:shape>
              <v:shape id="椭圆 1034" o:spid="_x0000_s1026" o:spt="3" type="#_x0000_t3" style="position:absolute;left:9802;top:14688;height:784;width:783;v-text-anchor:middle;" fillcolor="#7BA0CD" filled="t" stroked="f" coordsize="21600,21600" o:gfxdata="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uiRC/&#10;AAAA2wAAAA8AAAAAAAAAAQAgAAAAIgAAAGRycy9kb3ducmV2LnhtbFBLAQIUABQAAAAIAIdO4kAz&#10;LwWeOwAAADkAAAAQAAAAAAAAAAEAIAAAAA4BAABkcnMvc2hhcGV4bWwueG1sUEsFBgAAAAAGAAYA&#10;WwEAALgDAAAAAA==&#10;">
                <v:fill on="t" focussize="0,0"/>
                <v:stroke on="f"/>
                <v:imagedata o:title=""/>
                <o:lock v:ext="edit" aspectratio="f"/>
                <v:textbox>
                  <w:txbxContent>
                    <w:p>
                      <w:pPr>
                        <w:pStyle w:val="7"/>
                        <w:rPr>
                          <w:rFonts w:ascii="宋体" w:hAnsi="宋体"/>
                          <w:color w:val="FFFFFF"/>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color w:val="FFFFFF"/>
                          <w:sz w:val="28"/>
                          <w:szCs w:val="28"/>
                          <w:lang w:val="zh-CN"/>
                        </w:rPr>
                        <w:t>31</w:t>
                      </w:r>
                      <w:r>
                        <w:rPr>
                          <w:rFonts w:ascii="宋体" w:hAnsi="宋体"/>
                          <w:sz w:val="28"/>
                          <w:szCs w:val="28"/>
                        </w:rPr>
                        <w:fldChar w:fldCharType="end"/>
                      </w:r>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drawing>
        <wp:inline distT="0" distB="0" distL="0" distR="0">
          <wp:extent cx="1892300" cy="2476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892300" cy="247650"/>
                  </a:xfrm>
                  <a:prstGeom prst="rect">
                    <a:avLst/>
                  </a:prstGeom>
                  <a:noFill/>
                  <a:ln w="9525">
                    <a:noFill/>
                    <a:miter lim="800000"/>
                    <a:headEnd/>
                    <a:tailEnd/>
                  </a:ln>
                </pic:spPr>
              </pic:pic>
            </a:graphicData>
          </a:graphic>
        </wp:inline>
      </w:drawing>
    </w:r>
    <w:r>
      <w:rPr>
        <w:rFonts w:ascii="Cambria" w:hAnsi="Cambria"/>
      </w:rPr>
      <mc:AlternateContent>
        <mc:Choice Requires="wpg">
          <w:drawing>
            <wp:anchor distT="0" distB="0" distL="114300" distR="114300" simplePos="0" relativeHeight="251661312" behindDoc="0" locked="0" layoutInCell="1" allowOverlap="1">
              <wp:simplePos x="0" y="0"/>
              <wp:positionH relativeFrom="page">
                <wp:align>center</wp:align>
              </wp:positionH>
              <wp:positionV relativeFrom="page">
                <wp:align>top</wp:align>
              </wp:positionV>
              <wp:extent cx="7551420" cy="822960"/>
              <wp:effectExtent l="0" t="0" r="0" b="0"/>
              <wp:wrapNone/>
              <wp:docPr id="6" name="组合 3"/>
              <wp:cNvGraphicFramePr/>
              <a:graphic xmlns:a="http://schemas.openxmlformats.org/drawingml/2006/main">
                <a:graphicData uri="http://schemas.microsoft.com/office/word/2010/wordprocessingGroup">
                  <wpg:wgp>
                    <wpg:cNvGrpSpPr/>
                    <wpg:grpSpPr>
                      <a:xfrm>
                        <a:off x="0" y="0"/>
                        <a:ext cx="7551420" cy="822960"/>
                        <a:chOff x="8" y="9"/>
                        <a:chExt cx="15823" cy="1439"/>
                      </a:xfrm>
                    </wpg:grpSpPr>
                    <wps:wsp>
                      <wps:cNvPr id="4" name="自选图形 4"/>
                      <wps:cNvCnPr/>
                      <wps:spPr>
                        <a:xfrm>
                          <a:off x="9" y="1431"/>
                          <a:ext cx="15822" cy="0"/>
                        </a:xfrm>
                        <a:prstGeom prst="straightConnector1">
                          <a:avLst/>
                        </a:prstGeom>
                        <a:ln w="9525" cap="flat" cmpd="sng">
                          <a:solidFill>
                            <a:srgbClr val="31849B"/>
                          </a:solidFill>
                          <a:prstDash val="solid"/>
                          <a:headEnd type="none" w="med" len="med"/>
                          <a:tailEnd type="none" w="med" len="med"/>
                        </a:ln>
                      </wps:spPr>
                      <wps:bodyPr/>
                    </wps:wsp>
                    <wps:wsp>
                      <wps:cNvPr id="5" name="矩形 5"/>
                      <wps:cNvSpPr/>
                      <wps:spPr>
                        <a:xfrm>
                          <a:off x="8" y="9"/>
                          <a:ext cx="4031" cy="1439"/>
                        </a:xfrm>
                        <a:prstGeom prst="rect">
                          <a:avLst/>
                        </a:prstGeom>
                        <a:noFill/>
                        <a:ln>
                          <a:noFill/>
                        </a:ln>
                      </wps:spPr>
                      <wps:bodyPr upright="1"/>
                    </wps:wsp>
                  </wpg:wgp>
                </a:graphicData>
              </a:graphic>
              <wp14:sizeRelH relativeFrom="page">
                <wp14:pctWidth>100000</wp14:pctWidth>
              </wp14:sizeRelH>
              <wp14:sizeRelV relativeFrom="topMargin">
                <wp14:pctHeight>90000</wp14:pctHeight>
              </wp14:sizeRelV>
            </wp:anchor>
          </w:drawing>
        </mc:Choice>
        <mc:Fallback>
          <w:pict>
            <v:group id="组合 3" o:spid="_x0000_s1026" o:spt="203" style="position:absolute;left:0pt;height:64.8pt;width:594.6pt;mso-position-horizontal:center;mso-position-horizontal-relative:page;mso-position-vertical:top;mso-position-vertical-relative:page;z-index:251661312;mso-width-relative:page;mso-height-relative:top-margin-area;mso-width-percent:1000;mso-height-percent:900;" coordorigin="8,9" coordsize="15823,1439" o:gfxdata="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C8papG1gAAAAYBAAAPAAAAAAAA&#10;AAEAIAAAACIAAABkcnMvZG93bnJldi54bWxQSwECFAAUAAAACACHTuJApLD0j78CAABiBgAADgAA&#10;AAAAAAABACAAAAAlAQAAZHJzL2Uyb0RvYy54bWxQSwUGAAAAAAYABgBZAQAAVgYAAAAA&#10;">
              <o:lock v:ext="edit" aspectratio="f"/>
              <v:shape id="自选图形 4" o:spid="_x0000_s1026" o:spt="32" type="#_x0000_t32" style="position:absolute;left:9;top:1431;height:0;width:15822;" filled="f" stroked="t" coordsize="21600,21600" o:gfxdata="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pZ+WugAAANoA&#10;AAAPAAAAAAAAAAEAIAAAACIAAABkcnMvZG93bnJldi54bWxQSwECFAAUAAAACACHTuJAMy8FnjsA&#10;AAA5AAAAEAAAAAAAAAABACAAAAAJAQAAZHJzL3NoYXBleG1sLnhtbFBLBQYAAAAABgAGAFsBAACz&#10;AwAAAAA=&#10;">
                <v:fill on="f" focussize="0,0"/>
                <v:stroke color="#31849B" joinstyle="round"/>
                <v:imagedata o:title=""/>
                <o:lock v:ext="edit" aspectratio="f"/>
              </v:shape>
              <v:rect id="_x0000_s1026" o:spid="_x0000_s1026" o:spt="1" style="position:absolute;left:8;top:9;height:1439;width:4031;"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f"/>
              </v:rect>
            </v:group>
          </w:pict>
        </mc:Fallback>
      </mc:AlternateContent>
    </w:r>
    <w:r>
      <w:rPr>
        <w:rFonts w:ascii="Cambria" w:hAnsi="Cambria"/>
      </w:rPr>
      <mc:AlternateContent>
        <mc:Choice Requires="wps">
          <w:drawing>
            <wp:anchor distT="0" distB="0" distL="114300" distR="114300" simplePos="0" relativeHeight="251660288" behindDoc="0" locked="0" layoutInCell="1" allowOverlap="1">
              <wp:simplePos x="0" y="0"/>
              <wp:positionH relativeFrom="page">
                <wp:posOffset>7110730</wp:posOffset>
              </wp:positionH>
              <wp:positionV relativeFrom="page">
                <wp:posOffset>4445</wp:posOffset>
              </wp:positionV>
              <wp:extent cx="90805" cy="813435"/>
              <wp:effectExtent l="5080" t="4445" r="18415" b="20320"/>
              <wp:wrapNone/>
              <wp:docPr id="3" name="矩形 2"/>
              <wp:cNvGraphicFramePr/>
              <a:graphic xmlns:a="http://schemas.openxmlformats.org/drawingml/2006/main">
                <a:graphicData uri="http://schemas.microsoft.com/office/word/2010/wordprocessingShape">
                  <wps:wsp>
                    <wps:cNvSpPr/>
                    <wps:spPr>
                      <a:xfrm>
                        <a:off x="0" y="0"/>
                        <a:ext cx="90805" cy="813435"/>
                      </a:xfrm>
                      <a:prstGeom prst="rect">
                        <a:avLst/>
                      </a:prstGeom>
                      <a:solidFill>
                        <a:srgbClr val="4BACC6"/>
                      </a:solidFill>
                      <a:ln w="9525" cap="flat" cmpd="sng">
                        <a:solidFill>
                          <a:srgbClr val="205867"/>
                        </a:solidFill>
                        <a:prstDash val="solid"/>
                        <a:miter/>
                        <a:headEnd type="none" w="med" len="med"/>
                        <a:tailEnd type="none" w="med" len="med"/>
                      </a:ln>
                    </wps:spPr>
                    <wps:bodyPr upright="1"/>
                  </wps:wsp>
                </a:graphicData>
              </a:graphic>
              <wp14:sizeRelH relativeFrom="page">
                <wp14:pctWidth>0</wp14:pctWidth>
              </wp14:sizeRelH>
              <wp14:sizeRelV relativeFrom="topMargin">
                <wp14:pctHeight>90000</wp14:pctHeight>
              </wp14:sizeRelV>
            </wp:anchor>
          </w:drawing>
        </mc:Choice>
        <mc:Fallback>
          <w:pict>
            <v:rect id="矩形 2" o:spid="_x0000_s1026" o:spt="1" style="position:absolute;left:0pt;margin-left:559.9pt;margin-top:0.35pt;height:64.05pt;width:7.15pt;mso-position-horizontal-relative:page;mso-position-vertical-relative:page;z-index:251660288;mso-width-relative:page;mso-height-relative:top-margin-area;mso-height-percent:900;" fillcolor="#4BACC6" filled="t" stroked="t" coordsize="21600,21600" o:gfxdata="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DLr3zYAAAACgEAAA8AAAAAAAAAAQAgAAAAIgAAAGRycy9kb3du&#10;cmV2LnhtbFBLAQIUABQAAAAIAIdO4kCDRajf/wEAABwEAAAOAAAAAAAAAAEAIAAAACcBAABkcnMv&#10;ZTJvRG9jLnhtbFBLBQYAAAAABgAGAFkBAACYBQAAAAA=&#10;">
              <v:fill on="t" focussize="0,0"/>
              <v:stroke color="#205867" joinstyle="miter"/>
              <v:imagedata o:title=""/>
              <o:lock v:ext="edit" aspectratio="f"/>
            </v:rect>
          </w:pict>
        </mc:Fallback>
      </mc:AlternateContent>
    </w:r>
    <w:r>
      <w:rPr>
        <w:rFonts w:ascii="Cambria" w:hAnsi="Cambria"/>
      </w:rPr>
      <mc:AlternateContent>
        <mc:Choice Requires="wps">
          <w:drawing>
            <wp:anchor distT="0" distB="0" distL="114300" distR="114300" simplePos="0" relativeHeight="251659264" behindDoc="0" locked="0" layoutInCell="1" allowOverlap="1">
              <wp:simplePos x="0" y="0"/>
              <wp:positionH relativeFrom="page">
                <wp:posOffset>526415</wp:posOffset>
              </wp:positionH>
              <wp:positionV relativeFrom="page">
                <wp:posOffset>4445</wp:posOffset>
              </wp:positionV>
              <wp:extent cx="90805" cy="813435"/>
              <wp:effectExtent l="5080" t="4445" r="18415" b="20320"/>
              <wp:wrapNone/>
              <wp:docPr id="2" name="矩形 1"/>
              <wp:cNvGraphicFramePr/>
              <a:graphic xmlns:a="http://schemas.openxmlformats.org/drawingml/2006/main">
                <a:graphicData uri="http://schemas.microsoft.com/office/word/2010/wordprocessingShape">
                  <wps:wsp>
                    <wps:cNvSpPr/>
                    <wps:spPr>
                      <a:xfrm>
                        <a:off x="0" y="0"/>
                        <a:ext cx="90805" cy="813435"/>
                      </a:xfrm>
                      <a:prstGeom prst="rect">
                        <a:avLst/>
                      </a:prstGeom>
                      <a:solidFill>
                        <a:srgbClr val="4BACC6"/>
                      </a:solidFill>
                      <a:ln w="9525" cap="flat" cmpd="sng">
                        <a:solidFill>
                          <a:srgbClr val="205867"/>
                        </a:solidFill>
                        <a:prstDash val="solid"/>
                        <a:miter/>
                        <a:headEnd type="none" w="med" len="med"/>
                        <a:tailEnd type="none" w="med" len="med"/>
                      </a:ln>
                    </wps:spPr>
                    <wps:bodyPr upright="1"/>
                  </wps:wsp>
                </a:graphicData>
              </a:graphic>
              <wp14:sizeRelH relativeFrom="page">
                <wp14:pctWidth>0</wp14:pctWidth>
              </wp14:sizeRelH>
              <wp14:sizeRelV relativeFrom="topMargin">
                <wp14:pctHeight>90000</wp14:pctHeight>
              </wp14:sizeRelV>
            </wp:anchor>
          </w:drawing>
        </mc:Choice>
        <mc:Fallback>
          <w:pict>
            <v:rect id="矩形 1" o:spid="_x0000_s1026" o:spt="1" style="position:absolute;left:0pt;margin-left:41.45pt;margin-top:0.35pt;height:64.05pt;width:7.15pt;mso-position-horizontal-relative:page;mso-position-vertical-relative:page;z-index:251659264;mso-width-relative:page;mso-height-relative:top-margin-area;mso-height-percent:900;" fillcolor="#4BACC6" filled="t" stroked="t" coordsize="21600,21600" o:gfxdata="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8JvKzVAAAABgEAAA8AAAAAAAAAAQAgAAAAIgAAAGRycy9kb3ducmV2&#10;LnhtbFBLAQIUABQAAAAIAIdO4kAZCqQc/wEAABwEAAAOAAAAAAAAAAEAIAAAACQBAABkcnMvZTJv&#10;RG9jLnhtbFBLBQYAAAAABgAGAFkBAACVBQAAAAA=&#10;">
              <v:fill on="t" focussize="0,0"/>
              <v:stroke color="#205867"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FC863"/>
    <w:multiLevelType w:val="singleLevel"/>
    <w:tmpl w:val="AACFC86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NGIxM2ZmMTJlOWZkZDE4ZWY2NDk3NjNkZjE1ZjIifQ=="/>
  </w:docVars>
  <w:rsids>
    <w:rsidRoot w:val="00172A27"/>
    <w:rsid w:val="00000728"/>
    <w:rsid w:val="00013343"/>
    <w:rsid w:val="00017333"/>
    <w:rsid w:val="00024413"/>
    <w:rsid w:val="00025AE5"/>
    <w:rsid w:val="00031E48"/>
    <w:rsid w:val="000354A4"/>
    <w:rsid w:val="00053C82"/>
    <w:rsid w:val="000542AC"/>
    <w:rsid w:val="000604FC"/>
    <w:rsid w:val="000634C3"/>
    <w:rsid w:val="0007448E"/>
    <w:rsid w:val="000766D3"/>
    <w:rsid w:val="000878A9"/>
    <w:rsid w:val="00094940"/>
    <w:rsid w:val="000A7A98"/>
    <w:rsid w:val="000B0A92"/>
    <w:rsid w:val="000B4351"/>
    <w:rsid w:val="000B5E9D"/>
    <w:rsid w:val="000C1B01"/>
    <w:rsid w:val="000C3BB7"/>
    <w:rsid w:val="000C628D"/>
    <w:rsid w:val="000C763F"/>
    <w:rsid w:val="000D0621"/>
    <w:rsid w:val="000D4F8E"/>
    <w:rsid w:val="000D62BC"/>
    <w:rsid w:val="000E220F"/>
    <w:rsid w:val="000F1774"/>
    <w:rsid w:val="00103F19"/>
    <w:rsid w:val="00105BB8"/>
    <w:rsid w:val="00110D7F"/>
    <w:rsid w:val="0011499E"/>
    <w:rsid w:val="001226D2"/>
    <w:rsid w:val="0012460B"/>
    <w:rsid w:val="00126AEE"/>
    <w:rsid w:val="00136751"/>
    <w:rsid w:val="00141C45"/>
    <w:rsid w:val="00152B7A"/>
    <w:rsid w:val="001541C9"/>
    <w:rsid w:val="00156626"/>
    <w:rsid w:val="00161ED6"/>
    <w:rsid w:val="001620BE"/>
    <w:rsid w:val="001705DE"/>
    <w:rsid w:val="00170BCC"/>
    <w:rsid w:val="00172A27"/>
    <w:rsid w:val="00172F99"/>
    <w:rsid w:val="00176B2C"/>
    <w:rsid w:val="001807C0"/>
    <w:rsid w:val="00183CE6"/>
    <w:rsid w:val="00191C48"/>
    <w:rsid w:val="001B0F64"/>
    <w:rsid w:val="001D04B3"/>
    <w:rsid w:val="001D6BEE"/>
    <w:rsid w:val="001E232E"/>
    <w:rsid w:val="001E25A6"/>
    <w:rsid w:val="001E3CC3"/>
    <w:rsid w:val="001F33D4"/>
    <w:rsid w:val="001F77EE"/>
    <w:rsid w:val="00201E16"/>
    <w:rsid w:val="00203A0F"/>
    <w:rsid w:val="00233434"/>
    <w:rsid w:val="0023537B"/>
    <w:rsid w:val="00235DC6"/>
    <w:rsid w:val="00240622"/>
    <w:rsid w:val="002428C0"/>
    <w:rsid w:val="00247EBB"/>
    <w:rsid w:val="00257CCF"/>
    <w:rsid w:val="00260F77"/>
    <w:rsid w:val="002709BD"/>
    <w:rsid w:val="0028730A"/>
    <w:rsid w:val="00294D05"/>
    <w:rsid w:val="002953A2"/>
    <w:rsid w:val="00297285"/>
    <w:rsid w:val="002A0AEF"/>
    <w:rsid w:val="002A0F2F"/>
    <w:rsid w:val="002A2EA4"/>
    <w:rsid w:val="002A38D3"/>
    <w:rsid w:val="002C01F2"/>
    <w:rsid w:val="002C24E1"/>
    <w:rsid w:val="002D1C3F"/>
    <w:rsid w:val="002D36F3"/>
    <w:rsid w:val="002D3FE1"/>
    <w:rsid w:val="002D4304"/>
    <w:rsid w:val="002F1EBE"/>
    <w:rsid w:val="00305473"/>
    <w:rsid w:val="00306A9C"/>
    <w:rsid w:val="00312154"/>
    <w:rsid w:val="00313684"/>
    <w:rsid w:val="00336B3F"/>
    <w:rsid w:val="00337FBB"/>
    <w:rsid w:val="00353708"/>
    <w:rsid w:val="00356D09"/>
    <w:rsid w:val="00357D88"/>
    <w:rsid w:val="00357F6B"/>
    <w:rsid w:val="0036202E"/>
    <w:rsid w:val="0037194B"/>
    <w:rsid w:val="00382101"/>
    <w:rsid w:val="003A12D5"/>
    <w:rsid w:val="003A16B4"/>
    <w:rsid w:val="003A2988"/>
    <w:rsid w:val="003B32A9"/>
    <w:rsid w:val="003B39D2"/>
    <w:rsid w:val="003C29F8"/>
    <w:rsid w:val="003C53D9"/>
    <w:rsid w:val="003D2228"/>
    <w:rsid w:val="003E0E2A"/>
    <w:rsid w:val="003E1110"/>
    <w:rsid w:val="003F3EDD"/>
    <w:rsid w:val="003F4472"/>
    <w:rsid w:val="004006EF"/>
    <w:rsid w:val="00400BF3"/>
    <w:rsid w:val="00402C6A"/>
    <w:rsid w:val="00403E2B"/>
    <w:rsid w:val="0041018A"/>
    <w:rsid w:val="004237B7"/>
    <w:rsid w:val="004264D4"/>
    <w:rsid w:val="00426ED6"/>
    <w:rsid w:val="004277DE"/>
    <w:rsid w:val="00431902"/>
    <w:rsid w:val="0043561B"/>
    <w:rsid w:val="004366FE"/>
    <w:rsid w:val="00437EE7"/>
    <w:rsid w:val="00461B84"/>
    <w:rsid w:val="00470187"/>
    <w:rsid w:val="004755A7"/>
    <w:rsid w:val="00476EC7"/>
    <w:rsid w:val="00476F46"/>
    <w:rsid w:val="0048269F"/>
    <w:rsid w:val="004C5933"/>
    <w:rsid w:val="004C76D1"/>
    <w:rsid w:val="004D02AC"/>
    <w:rsid w:val="004D5B10"/>
    <w:rsid w:val="004E053F"/>
    <w:rsid w:val="004E63A8"/>
    <w:rsid w:val="004E648F"/>
    <w:rsid w:val="004F2A2A"/>
    <w:rsid w:val="004F2AB2"/>
    <w:rsid w:val="004F6A99"/>
    <w:rsid w:val="004F740A"/>
    <w:rsid w:val="00500CBD"/>
    <w:rsid w:val="005138A0"/>
    <w:rsid w:val="0051611E"/>
    <w:rsid w:val="0051689E"/>
    <w:rsid w:val="005225F3"/>
    <w:rsid w:val="00527B1F"/>
    <w:rsid w:val="005319DE"/>
    <w:rsid w:val="0055289C"/>
    <w:rsid w:val="005579C5"/>
    <w:rsid w:val="00564571"/>
    <w:rsid w:val="00574E13"/>
    <w:rsid w:val="00580CCD"/>
    <w:rsid w:val="00585349"/>
    <w:rsid w:val="00586C8A"/>
    <w:rsid w:val="00590EE1"/>
    <w:rsid w:val="0059121C"/>
    <w:rsid w:val="00591EA1"/>
    <w:rsid w:val="00597DB0"/>
    <w:rsid w:val="005C7B1A"/>
    <w:rsid w:val="005D57C6"/>
    <w:rsid w:val="005E1FE3"/>
    <w:rsid w:val="005E525D"/>
    <w:rsid w:val="005E5C67"/>
    <w:rsid w:val="005F3765"/>
    <w:rsid w:val="005F4213"/>
    <w:rsid w:val="005F5FBF"/>
    <w:rsid w:val="006024FD"/>
    <w:rsid w:val="00602CEC"/>
    <w:rsid w:val="00617A81"/>
    <w:rsid w:val="00626D6F"/>
    <w:rsid w:val="00630BD8"/>
    <w:rsid w:val="00636EBD"/>
    <w:rsid w:val="0063775E"/>
    <w:rsid w:val="00644280"/>
    <w:rsid w:val="0064439E"/>
    <w:rsid w:val="006513D1"/>
    <w:rsid w:val="0065256B"/>
    <w:rsid w:val="00656655"/>
    <w:rsid w:val="00656CB3"/>
    <w:rsid w:val="0066069E"/>
    <w:rsid w:val="00660DCC"/>
    <w:rsid w:val="00667B4B"/>
    <w:rsid w:val="00681AE6"/>
    <w:rsid w:val="00686023"/>
    <w:rsid w:val="00686B26"/>
    <w:rsid w:val="006874F4"/>
    <w:rsid w:val="0069186F"/>
    <w:rsid w:val="0069733C"/>
    <w:rsid w:val="006A32EF"/>
    <w:rsid w:val="006A583D"/>
    <w:rsid w:val="006B196F"/>
    <w:rsid w:val="006B505C"/>
    <w:rsid w:val="006B537B"/>
    <w:rsid w:val="006F048A"/>
    <w:rsid w:val="006F25F9"/>
    <w:rsid w:val="006F5DE5"/>
    <w:rsid w:val="007009C8"/>
    <w:rsid w:val="00715C24"/>
    <w:rsid w:val="00717F0D"/>
    <w:rsid w:val="0072106E"/>
    <w:rsid w:val="0072113C"/>
    <w:rsid w:val="00731569"/>
    <w:rsid w:val="00745582"/>
    <w:rsid w:val="00751A3B"/>
    <w:rsid w:val="00751A51"/>
    <w:rsid w:val="00763A58"/>
    <w:rsid w:val="00772FC9"/>
    <w:rsid w:val="007817B2"/>
    <w:rsid w:val="00790422"/>
    <w:rsid w:val="0079441C"/>
    <w:rsid w:val="007A2FE8"/>
    <w:rsid w:val="007A30A4"/>
    <w:rsid w:val="007B203E"/>
    <w:rsid w:val="007B398B"/>
    <w:rsid w:val="007C6DF1"/>
    <w:rsid w:val="007D1EAE"/>
    <w:rsid w:val="007D44A3"/>
    <w:rsid w:val="007E53E0"/>
    <w:rsid w:val="007F0838"/>
    <w:rsid w:val="007F48C9"/>
    <w:rsid w:val="007F4A7C"/>
    <w:rsid w:val="007F4CD5"/>
    <w:rsid w:val="008005DE"/>
    <w:rsid w:val="008010E6"/>
    <w:rsid w:val="00802CD9"/>
    <w:rsid w:val="008060D6"/>
    <w:rsid w:val="00806548"/>
    <w:rsid w:val="00810F26"/>
    <w:rsid w:val="00825433"/>
    <w:rsid w:val="00826366"/>
    <w:rsid w:val="00827A8E"/>
    <w:rsid w:val="0083070E"/>
    <w:rsid w:val="008502C3"/>
    <w:rsid w:val="00852528"/>
    <w:rsid w:val="00861104"/>
    <w:rsid w:val="00867B8A"/>
    <w:rsid w:val="00872636"/>
    <w:rsid w:val="00873266"/>
    <w:rsid w:val="00884055"/>
    <w:rsid w:val="0088405A"/>
    <w:rsid w:val="008873F3"/>
    <w:rsid w:val="00893B69"/>
    <w:rsid w:val="0089520D"/>
    <w:rsid w:val="00896EEF"/>
    <w:rsid w:val="008A5481"/>
    <w:rsid w:val="008B2926"/>
    <w:rsid w:val="008B4A6C"/>
    <w:rsid w:val="008B7BED"/>
    <w:rsid w:val="008D3D0F"/>
    <w:rsid w:val="008D4AE4"/>
    <w:rsid w:val="008E5CDE"/>
    <w:rsid w:val="008E6196"/>
    <w:rsid w:val="008F52E9"/>
    <w:rsid w:val="009044FA"/>
    <w:rsid w:val="009169F9"/>
    <w:rsid w:val="00916F0B"/>
    <w:rsid w:val="009175E8"/>
    <w:rsid w:val="0092766F"/>
    <w:rsid w:val="009328D3"/>
    <w:rsid w:val="0094063C"/>
    <w:rsid w:val="009414AC"/>
    <w:rsid w:val="00945B54"/>
    <w:rsid w:val="0096576D"/>
    <w:rsid w:val="00975F5C"/>
    <w:rsid w:val="00976425"/>
    <w:rsid w:val="00982682"/>
    <w:rsid w:val="0098750E"/>
    <w:rsid w:val="009A2439"/>
    <w:rsid w:val="009A4D8B"/>
    <w:rsid w:val="009A510B"/>
    <w:rsid w:val="009A5CE6"/>
    <w:rsid w:val="009A6D0C"/>
    <w:rsid w:val="009C6AA6"/>
    <w:rsid w:val="009D0B26"/>
    <w:rsid w:val="009D0C37"/>
    <w:rsid w:val="009E2197"/>
    <w:rsid w:val="009F6B0C"/>
    <w:rsid w:val="00A00A95"/>
    <w:rsid w:val="00A20233"/>
    <w:rsid w:val="00A209CC"/>
    <w:rsid w:val="00A21FB8"/>
    <w:rsid w:val="00A335EA"/>
    <w:rsid w:val="00A34846"/>
    <w:rsid w:val="00A420B3"/>
    <w:rsid w:val="00A43701"/>
    <w:rsid w:val="00A45746"/>
    <w:rsid w:val="00A51740"/>
    <w:rsid w:val="00A532FA"/>
    <w:rsid w:val="00A56AAE"/>
    <w:rsid w:val="00A607B9"/>
    <w:rsid w:val="00A624EF"/>
    <w:rsid w:val="00A62D89"/>
    <w:rsid w:val="00A81F97"/>
    <w:rsid w:val="00A83B1B"/>
    <w:rsid w:val="00A87BF7"/>
    <w:rsid w:val="00A91082"/>
    <w:rsid w:val="00A93D89"/>
    <w:rsid w:val="00A963A9"/>
    <w:rsid w:val="00AA3525"/>
    <w:rsid w:val="00AB19FB"/>
    <w:rsid w:val="00AC7968"/>
    <w:rsid w:val="00AD4561"/>
    <w:rsid w:val="00AE2746"/>
    <w:rsid w:val="00AE6E69"/>
    <w:rsid w:val="00AF14F1"/>
    <w:rsid w:val="00AF22D6"/>
    <w:rsid w:val="00AF3318"/>
    <w:rsid w:val="00AF4A61"/>
    <w:rsid w:val="00B040E8"/>
    <w:rsid w:val="00B0471E"/>
    <w:rsid w:val="00B0731F"/>
    <w:rsid w:val="00B13E2A"/>
    <w:rsid w:val="00B165F2"/>
    <w:rsid w:val="00B26B8A"/>
    <w:rsid w:val="00B34436"/>
    <w:rsid w:val="00B350DB"/>
    <w:rsid w:val="00B35FFD"/>
    <w:rsid w:val="00B367E5"/>
    <w:rsid w:val="00B46B06"/>
    <w:rsid w:val="00B61DAD"/>
    <w:rsid w:val="00B63DE3"/>
    <w:rsid w:val="00B70E98"/>
    <w:rsid w:val="00B82CC7"/>
    <w:rsid w:val="00B8779D"/>
    <w:rsid w:val="00B927F8"/>
    <w:rsid w:val="00B975CA"/>
    <w:rsid w:val="00B97CF4"/>
    <w:rsid w:val="00BA1B41"/>
    <w:rsid w:val="00BA7008"/>
    <w:rsid w:val="00BA799E"/>
    <w:rsid w:val="00BB2D24"/>
    <w:rsid w:val="00BC1DCF"/>
    <w:rsid w:val="00BC65DD"/>
    <w:rsid w:val="00C15700"/>
    <w:rsid w:val="00C20C5A"/>
    <w:rsid w:val="00C23691"/>
    <w:rsid w:val="00C44D13"/>
    <w:rsid w:val="00C70674"/>
    <w:rsid w:val="00C877EA"/>
    <w:rsid w:val="00CA29C5"/>
    <w:rsid w:val="00CA2B1E"/>
    <w:rsid w:val="00CB421C"/>
    <w:rsid w:val="00CC3E61"/>
    <w:rsid w:val="00CC597C"/>
    <w:rsid w:val="00CC73A9"/>
    <w:rsid w:val="00CD51B5"/>
    <w:rsid w:val="00CE2A7F"/>
    <w:rsid w:val="00CE6067"/>
    <w:rsid w:val="00CF3559"/>
    <w:rsid w:val="00CF4EE3"/>
    <w:rsid w:val="00CF53FD"/>
    <w:rsid w:val="00D02A3B"/>
    <w:rsid w:val="00D052B9"/>
    <w:rsid w:val="00D10165"/>
    <w:rsid w:val="00D11283"/>
    <w:rsid w:val="00D21667"/>
    <w:rsid w:val="00D2269C"/>
    <w:rsid w:val="00D23BEF"/>
    <w:rsid w:val="00D40C47"/>
    <w:rsid w:val="00D64293"/>
    <w:rsid w:val="00D752B4"/>
    <w:rsid w:val="00D75DE8"/>
    <w:rsid w:val="00D852F3"/>
    <w:rsid w:val="00D92EC7"/>
    <w:rsid w:val="00D95D3A"/>
    <w:rsid w:val="00DC3DB8"/>
    <w:rsid w:val="00DD383E"/>
    <w:rsid w:val="00DE03D9"/>
    <w:rsid w:val="00DE2C5C"/>
    <w:rsid w:val="00DE4D80"/>
    <w:rsid w:val="00DF1DCD"/>
    <w:rsid w:val="00DF3ED3"/>
    <w:rsid w:val="00DF585F"/>
    <w:rsid w:val="00E02341"/>
    <w:rsid w:val="00E03AB3"/>
    <w:rsid w:val="00E129B8"/>
    <w:rsid w:val="00E17D6A"/>
    <w:rsid w:val="00E2160D"/>
    <w:rsid w:val="00E26BC1"/>
    <w:rsid w:val="00E336C8"/>
    <w:rsid w:val="00E36571"/>
    <w:rsid w:val="00E56C1A"/>
    <w:rsid w:val="00E56E28"/>
    <w:rsid w:val="00E64107"/>
    <w:rsid w:val="00E65431"/>
    <w:rsid w:val="00E74995"/>
    <w:rsid w:val="00E74BA3"/>
    <w:rsid w:val="00E819B8"/>
    <w:rsid w:val="00E83417"/>
    <w:rsid w:val="00E85C2E"/>
    <w:rsid w:val="00E86E9E"/>
    <w:rsid w:val="00E8759D"/>
    <w:rsid w:val="00E9095A"/>
    <w:rsid w:val="00E914D0"/>
    <w:rsid w:val="00E91E0B"/>
    <w:rsid w:val="00EB3823"/>
    <w:rsid w:val="00EB51B2"/>
    <w:rsid w:val="00EC0050"/>
    <w:rsid w:val="00EC0563"/>
    <w:rsid w:val="00EC2073"/>
    <w:rsid w:val="00EC31BA"/>
    <w:rsid w:val="00EC3DA8"/>
    <w:rsid w:val="00ED77E1"/>
    <w:rsid w:val="00EE1B33"/>
    <w:rsid w:val="00EE1CC9"/>
    <w:rsid w:val="00EE22C9"/>
    <w:rsid w:val="00EE574D"/>
    <w:rsid w:val="00EF7631"/>
    <w:rsid w:val="00F059D2"/>
    <w:rsid w:val="00F06EA4"/>
    <w:rsid w:val="00F12ABF"/>
    <w:rsid w:val="00F164A7"/>
    <w:rsid w:val="00F253E6"/>
    <w:rsid w:val="00F368EB"/>
    <w:rsid w:val="00F52EEB"/>
    <w:rsid w:val="00F53133"/>
    <w:rsid w:val="00F61863"/>
    <w:rsid w:val="00F646F6"/>
    <w:rsid w:val="00F65126"/>
    <w:rsid w:val="00F72B94"/>
    <w:rsid w:val="00F80629"/>
    <w:rsid w:val="00F91E23"/>
    <w:rsid w:val="00FA281C"/>
    <w:rsid w:val="00FA78C5"/>
    <w:rsid w:val="00FB764B"/>
    <w:rsid w:val="00FC32B0"/>
    <w:rsid w:val="00FC7A81"/>
    <w:rsid w:val="00FD04C0"/>
    <w:rsid w:val="00FE70DA"/>
    <w:rsid w:val="00FF0F16"/>
    <w:rsid w:val="01CF4BC0"/>
    <w:rsid w:val="01F7760C"/>
    <w:rsid w:val="02FE4F68"/>
    <w:rsid w:val="0347143C"/>
    <w:rsid w:val="06750BD0"/>
    <w:rsid w:val="084B2159"/>
    <w:rsid w:val="0A2B57F0"/>
    <w:rsid w:val="0B477500"/>
    <w:rsid w:val="0C093EF8"/>
    <w:rsid w:val="0D6A14D0"/>
    <w:rsid w:val="0F3F5F47"/>
    <w:rsid w:val="10437371"/>
    <w:rsid w:val="1313073B"/>
    <w:rsid w:val="13B011C1"/>
    <w:rsid w:val="146B0BCB"/>
    <w:rsid w:val="167069E6"/>
    <w:rsid w:val="17CC2342"/>
    <w:rsid w:val="18DC2E7A"/>
    <w:rsid w:val="1BCB46BE"/>
    <w:rsid w:val="1D9F5E03"/>
    <w:rsid w:val="1E0A5972"/>
    <w:rsid w:val="1EB458DE"/>
    <w:rsid w:val="1FFE6A6A"/>
    <w:rsid w:val="205D447F"/>
    <w:rsid w:val="2152713F"/>
    <w:rsid w:val="21A45891"/>
    <w:rsid w:val="21F4671D"/>
    <w:rsid w:val="23A60C0A"/>
    <w:rsid w:val="23A81EB5"/>
    <w:rsid w:val="242C148F"/>
    <w:rsid w:val="24FD25E9"/>
    <w:rsid w:val="25274C9F"/>
    <w:rsid w:val="261A696E"/>
    <w:rsid w:val="275A389E"/>
    <w:rsid w:val="28862099"/>
    <w:rsid w:val="2B114A4F"/>
    <w:rsid w:val="2BBD119C"/>
    <w:rsid w:val="2C416A03"/>
    <w:rsid w:val="2C701096"/>
    <w:rsid w:val="2D5E6F50"/>
    <w:rsid w:val="30510A10"/>
    <w:rsid w:val="33ED5EEE"/>
    <w:rsid w:val="340546BA"/>
    <w:rsid w:val="346A6D13"/>
    <w:rsid w:val="35C44201"/>
    <w:rsid w:val="35D233BB"/>
    <w:rsid w:val="362F5B1E"/>
    <w:rsid w:val="390F1C37"/>
    <w:rsid w:val="392C4597"/>
    <w:rsid w:val="3BA50630"/>
    <w:rsid w:val="3C153A08"/>
    <w:rsid w:val="3D487A99"/>
    <w:rsid w:val="3E327796"/>
    <w:rsid w:val="3E864749"/>
    <w:rsid w:val="43CA332A"/>
    <w:rsid w:val="462F56C6"/>
    <w:rsid w:val="479F5308"/>
    <w:rsid w:val="49311755"/>
    <w:rsid w:val="493A702D"/>
    <w:rsid w:val="4AD90A58"/>
    <w:rsid w:val="4B180E1F"/>
    <w:rsid w:val="4CF90B72"/>
    <w:rsid w:val="4F2E6CF0"/>
    <w:rsid w:val="4FBE01E7"/>
    <w:rsid w:val="50B05655"/>
    <w:rsid w:val="52463073"/>
    <w:rsid w:val="52974D1F"/>
    <w:rsid w:val="52A66D10"/>
    <w:rsid w:val="52D90E94"/>
    <w:rsid w:val="535D3873"/>
    <w:rsid w:val="538F59F6"/>
    <w:rsid w:val="55874538"/>
    <w:rsid w:val="583B7A9A"/>
    <w:rsid w:val="59357A9F"/>
    <w:rsid w:val="593C3F2A"/>
    <w:rsid w:val="59926240"/>
    <w:rsid w:val="5D011713"/>
    <w:rsid w:val="61717A4C"/>
    <w:rsid w:val="627553F5"/>
    <w:rsid w:val="6300421A"/>
    <w:rsid w:val="657131AE"/>
    <w:rsid w:val="65916638"/>
    <w:rsid w:val="66FC2F4B"/>
    <w:rsid w:val="67332E10"/>
    <w:rsid w:val="6C53360D"/>
    <w:rsid w:val="6CD52274"/>
    <w:rsid w:val="6D91365E"/>
    <w:rsid w:val="6DDD1B99"/>
    <w:rsid w:val="7315073F"/>
    <w:rsid w:val="74387CB8"/>
    <w:rsid w:val="75E11C8A"/>
    <w:rsid w:val="76E97048"/>
    <w:rsid w:val="77656A42"/>
    <w:rsid w:val="77D76A35"/>
    <w:rsid w:val="77F2017E"/>
    <w:rsid w:val="7921723F"/>
    <w:rsid w:val="7C183F2B"/>
    <w:rsid w:val="7EA226A3"/>
    <w:rsid w:val="7F651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9"/>
    <w:pPr>
      <w:keepNext/>
      <w:keepLines/>
      <w:widowControl/>
      <w:spacing w:before="480" w:line="276" w:lineRule="auto"/>
      <w:jc w:val="left"/>
      <w:outlineLvl w:val="0"/>
    </w:pPr>
    <w:rPr>
      <w:rFonts w:ascii="Cambria" w:hAnsi="Cambria"/>
      <w:b/>
      <w:bCs/>
      <w:color w:val="366091"/>
      <w:kern w:val="0"/>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uiPriority w:val="99"/>
    <w:pPr>
      <w:jc w:val="left"/>
    </w:pPr>
  </w:style>
  <w:style w:type="paragraph" w:styleId="4">
    <w:name w:val="Date"/>
    <w:basedOn w:val="1"/>
    <w:next w:val="1"/>
    <w:link w:val="15"/>
    <w:unhideWhenUsed/>
    <w:qFormat/>
    <w:uiPriority w:val="99"/>
    <w:pPr>
      <w:ind w:left="100" w:leftChars="2500"/>
    </w:pPr>
  </w:style>
  <w:style w:type="paragraph" w:styleId="5">
    <w:name w:val="Balloon Text"/>
    <w:basedOn w:val="1"/>
    <w:link w:val="16"/>
    <w:unhideWhenUsed/>
    <w:uiPriority w:val="99"/>
    <w:rPr>
      <w:sz w:val="18"/>
      <w:szCs w:val="18"/>
    </w:rPr>
  </w:style>
  <w:style w:type="paragraph" w:styleId="6">
    <w:name w:val="footer"/>
    <w:basedOn w:val="1"/>
    <w:link w:val="17"/>
    <w:unhideWhenUsed/>
    <w:uiPriority w:val="99"/>
    <w:pPr>
      <w:tabs>
        <w:tab w:val="center" w:pos="4153"/>
        <w:tab w:val="right" w:pos="8306"/>
      </w:tabs>
      <w:snapToGrid w:val="0"/>
      <w:jc w:val="left"/>
    </w:pPr>
    <w:rPr>
      <w:sz w:val="18"/>
      <w:szCs w:val="18"/>
    </w:rPr>
  </w:style>
  <w:style w:type="paragraph" w:styleId="7">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szCs w:val="24"/>
    </w:rPr>
  </w:style>
  <w:style w:type="paragraph" w:styleId="9">
    <w:name w:val="annotation subject"/>
    <w:basedOn w:val="3"/>
    <w:next w:val="3"/>
    <w:link w:val="22"/>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character" w:customStyle="1" w:styleId="14">
    <w:name w:val="标题 1 Char"/>
    <w:link w:val="2"/>
    <w:qFormat/>
    <w:uiPriority w:val="9"/>
    <w:rPr>
      <w:rFonts w:ascii="Cambria" w:hAnsi="Cambria" w:eastAsia="宋体" w:cs="Times New Roman"/>
      <w:b/>
      <w:bCs/>
      <w:color w:val="366091"/>
      <w:kern w:val="0"/>
      <w:sz w:val="28"/>
      <w:szCs w:val="28"/>
    </w:rPr>
  </w:style>
  <w:style w:type="character" w:customStyle="1" w:styleId="15">
    <w:name w:val="日期 Char"/>
    <w:link w:val="4"/>
    <w:semiHidden/>
    <w:qFormat/>
    <w:uiPriority w:val="99"/>
  </w:style>
  <w:style w:type="character" w:customStyle="1" w:styleId="16">
    <w:name w:val="批注框文本 Char"/>
    <w:link w:val="5"/>
    <w:semiHidden/>
    <w:qFormat/>
    <w:uiPriority w:val="99"/>
    <w:rPr>
      <w:sz w:val="18"/>
      <w:szCs w:val="18"/>
    </w:rPr>
  </w:style>
  <w:style w:type="character" w:customStyle="1" w:styleId="17">
    <w:name w:val="页脚 Char"/>
    <w:link w:val="6"/>
    <w:semiHidden/>
    <w:qFormat/>
    <w:uiPriority w:val="99"/>
    <w:rPr>
      <w:sz w:val="18"/>
      <w:szCs w:val="18"/>
    </w:rPr>
  </w:style>
  <w:style w:type="character" w:customStyle="1" w:styleId="18">
    <w:name w:val="页眉 Char"/>
    <w:link w:val="7"/>
    <w:qFormat/>
    <w:uiPriority w:val="99"/>
    <w:rPr>
      <w:sz w:val="18"/>
      <w:szCs w:val="18"/>
    </w:rPr>
  </w:style>
  <w:style w:type="paragraph" w:customStyle="1" w:styleId="19">
    <w:name w:val="列表段落1"/>
    <w:basedOn w:val="1"/>
    <w:qFormat/>
    <w:uiPriority w:val="34"/>
    <w:pPr>
      <w:ind w:firstLine="420" w:firstLineChars="200"/>
    </w:pPr>
  </w:style>
  <w:style w:type="paragraph" w:customStyle="1" w:styleId="20">
    <w:name w:val="首行缩进"/>
    <w:basedOn w:val="1"/>
    <w:qFormat/>
    <w:uiPriority w:val="0"/>
    <w:pPr>
      <w:spacing w:line="360" w:lineRule="auto"/>
      <w:ind w:firstLine="480" w:firstLineChars="200"/>
    </w:pPr>
    <w:rPr>
      <w:rFonts w:ascii="宋体" w:hAnsi="宋体" w:cs="宋体"/>
      <w:kern w:val="0"/>
      <w:sz w:val="24"/>
    </w:rPr>
  </w:style>
  <w:style w:type="character" w:customStyle="1" w:styleId="21">
    <w:name w:val="批注文字 Char"/>
    <w:basedOn w:val="12"/>
    <w:link w:val="3"/>
    <w:semiHidden/>
    <w:uiPriority w:val="99"/>
    <w:rPr>
      <w:rFonts w:ascii="Calibri" w:hAnsi="Calibri"/>
      <w:kern w:val="2"/>
      <w:sz w:val="21"/>
      <w:szCs w:val="22"/>
    </w:rPr>
  </w:style>
  <w:style w:type="character" w:customStyle="1" w:styleId="22">
    <w:name w:val="批注主题 Char"/>
    <w:basedOn w:val="21"/>
    <w:link w:val="9"/>
    <w:semiHidden/>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21196</Words>
  <Characters>21839</Characters>
  <Lines>172</Lines>
  <Paragraphs>48</Paragraphs>
  <TotalTime>51</TotalTime>
  <ScaleCrop>false</ScaleCrop>
  <LinksUpToDate>false</LinksUpToDate>
  <CharactersWithSpaces>23737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2024-05-29T02:22:00Z</dcterms:created>
  <dc:creator>DELL</dc:creator>
  <cp:lastModifiedBy>梦婷</cp:lastModifiedBy>
  <cp:lastPrinted>2021-12-30T01:16:00Z</cp:lastPrinted>
  <dcterms:modified xsi:type="dcterms:W3CDTF">2024-06-24T04:21:54Z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487779A5CEC9447AAB59E5D9DB23F74A_13</vt:lpwstr>
  </property>
</Properties>
</file>