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87A4D">
      <w:pPr>
        <w:pStyle w:val="2"/>
        <w:rPr>
          <w:rFonts w:ascii="Times New Roman" w:hAnsi="Times New Roman"/>
          <w:b/>
          <w:sz w:val="36"/>
          <w:szCs w:val="36"/>
        </w:rPr>
      </w:pPr>
    </w:p>
    <w:p w14:paraId="6AE5B5BC">
      <w:pPr>
        <w:spacing w:line="560" w:lineRule="exact"/>
        <w:jc w:val="center"/>
        <w:rPr>
          <w:rFonts w:hint="eastAsia" w:eastAsia="宋体"/>
          <w:b/>
          <w:sz w:val="44"/>
          <w:szCs w:val="44"/>
          <w:lang w:eastAsia="zh-CN"/>
        </w:rPr>
      </w:pPr>
      <w:r>
        <w:rPr>
          <w:rFonts w:hint="eastAsia"/>
          <w:b/>
          <w:sz w:val="44"/>
          <w:szCs w:val="44"/>
          <w:lang w:eastAsia="zh-CN"/>
        </w:rPr>
        <w:t>邻里中心宿舍楼门禁系统采购项目</w:t>
      </w:r>
    </w:p>
    <w:p w14:paraId="26BDAED5">
      <w:pPr>
        <w:rPr>
          <w:rFonts w:ascii="宋体" w:hAnsi="宋体" w:cs="宋体"/>
          <w:b/>
          <w:bCs/>
          <w:sz w:val="96"/>
          <w:szCs w:val="96"/>
        </w:rPr>
      </w:pPr>
    </w:p>
    <w:p w14:paraId="5A2B135B">
      <w:pPr>
        <w:jc w:val="center"/>
        <w:rPr>
          <w:rFonts w:ascii="宋体" w:hAnsi="宋体" w:cs="宋体"/>
          <w:b/>
          <w:bCs/>
          <w:sz w:val="96"/>
          <w:szCs w:val="96"/>
        </w:rPr>
      </w:pPr>
      <w:r>
        <w:rPr>
          <w:rFonts w:hint="eastAsia" w:ascii="宋体" w:hAnsi="宋体" w:cs="宋体"/>
          <w:b/>
          <w:bCs/>
          <w:sz w:val="96"/>
          <w:szCs w:val="96"/>
        </w:rPr>
        <w:t>招标文件</w:t>
      </w:r>
    </w:p>
    <w:p w14:paraId="4351D460">
      <w:pPr>
        <w:spacing w:beforeLines="100"/>
        <w:jc w:val="center"/>
        <w:rPr>
          <w:rFonts w:ascii="宋体" w:hAnsi="宋体"/>
          <w:sz w:val="44"/>
          <w:szCs w:val="44"/>
        </w:rPr>
      </w:pPr>
      <w:r>
        <w:rPr>
          <w:rFonts w:hint="eastAsia" w:ascii="宋体" w:hAnsi="宋体"/>
          <w:sz w:val="44"/>
          <w:szCs w:val="44"/>
        </w:rPr>
        <w:t>（不见面交易项目）</w:t>
      </w:r>
    </w:p>
    <w:p w14:paraId="4E3F12A3">
      <w:pPr>
        <w:spacing w:line="500" w:lineRule="exact"/>
        <w:rPr>
          <w:b/>
          <w:bCs/>
          <w:sz w:val="28"/>
        </w:rPr>
      </w:pPr>
    </w:p>
    <w:p w14:paraId="04A3299F">
      <w:pPr>
        <w:spacing w:line="500" w:lineRule="exact"/>
        <w:rPr>
          <w:b/>
          <w:bCs/>
          <w:sz w:val="28"/>
        </w:rPr>
      </w:pPr>
    </w:p>
    <w:p w14:paraId="5F54181A">
      <w:pPr>
        <w:spacing w:line="400" w:lineRule="exact"/>
      </w:pPr>
    </w:p>
    <w:p w14:paraId="7B8A78DA">
      <w:pPr>
        <w:pStyle w:val="33"/>
        <w:rPr>
          <w:color w:val="auto"/>
        </w:rPr>
      </w:pPr>
    </w:p>
    <w:p w14:paraId="1277BFA1">
      <w:pPr>
        <w:spacing w:line="400" w:lineRule="exact"/>
        <w:rPr>
          <w:sz w:val="24"/>
        </w:rPr>
      </w:pPr>
    </w:p>
    <w:p w14:paraId="0F333DF9">
      <w:pPr>
        <w:spacing w:line="720" w:lineRule="auto"/>
        <w:rPr>
          <w:rFonts w:ascii="宋体" w:hAnsi="宋体"/>
          <w:sz w:val="28"/>
          <w:szCs w:val="28"/>
        </w:rPr>
      </w:pPr>
      <w:r>
        <w:rPr>
          <w:rFonts w:hint="eastAsia" w:ascii="宋体" w:hAnsi="宋体"/>
          <w:sz w:val="28"/>
          <w:szCs w:val="28"/>
        </w:rPr>
        <w:t>招    标    人：</w:t>
      </w:r>
      <w:r>
        <w:rPr>
          <w:rFonts w:hint="eastAsia" w:ascii="宋体" w:hAnsi="宋体"/>
          <w:sz w:val="28"/>
          <w:szCs w:val="28"/>
          <w:u w:val="single"/>
        </w:rPr>
        <w:t xml:space="preserve">    </w:t>
      </w:r>
      <w:r>
        <w:rPr>
          <w:rFonts w:hint="eastAsia" w:ascii="宋体" w:hAnsi="宋体"/>
          <w:b/>
          <w:bCs/>
          <w:sz w:val="28"/>
          <w:szCs w:val="28"/>
          <w:u w:val="single"/>
        </w:rPr>
        <w:t>盐城市海兴控股集团有限公司</w:t>
      </w:r>
      <w:r>
        <w:rPr>
          <w:rFonts w:hint="eastAsia" w:ascii="宋体" w:hAnsi="宋体"/>
          <w:sz w:val="28"/>
          <w:szCs w:val="28"/>
          <w:u w:val="single"/>
        </w:rPr>
        <w:t xml:space="preserve">    （</w:t>
      </w:r>
      <w:r>
        <w:rPr>
          <w:rFonts w:hint="eastAsia" w:ascii="宋体" w:hAnsi="宋体"/>
          <w:sz w:val="28"/>
          <w:szCs w:val="28"/>
        </w:rPr>
        <w:t>公章）</w:t>
      </w:r>
    </w:p>
    <w:p w14:paraId="286391E2">
      <w:pPr>
        <w:spacing w:line="720" w:lineRule="auto"/>
        <w:rPr>
          <w:rFonts w:ascii="宋体" w:hAnsi="宋体"/>
          <w:sz w:val="28"/>
          <w:szCs w:val="28"/>
        </w:rPr>
      </w:pPr>
      <w:r>
        <w:rPr>
          <w:rFonts w:hint="eastAsia" w:ascii="宋体" w:hAnsi="宋体"/>
          <w:sz w:val="28"/>
          <w:szCs w:val="28"/>
        </w:rPr>
        <w:t>法</w:t>
      </w:r>
      <w:r>
        <w:rPr>
          <w:rFonts w:ascii="宋体" w:hAnsi="宋体"/>
          <w:sz w:val="28"/>
          <w:szCs w:val="28"/>
        </w:rPr>
        <w:t xml:space="preserve"> </w:t>
      </w:r>
      <w:r>
        <w:rPr>
          <w:rFonts w:hint="eastAsia" w:ascii="宋体" w:hAnsi="宋体"/>
          <w:sz w:val="28"/>
          <w:szCs w:val="28"/>
        </w:rPr>
        <w:t>定</w:t>
      </w:r>
      <w:r>
        <w:rPr>
          <w:rFonts w:ascii="宋体" w:hAnsi="宋体"/>
          <w:sz w:val="28"/>
          <w:szCs w:val="28"/>
        </w:rPr>
        <w:t xml:space="preserve"> </w:t>
      </w:r>
      <w:r>
        <w:rPr>
          <w:rFonts w:hint="eastAsia" w:ascii="宋体" w:hAnsi="宋体"/>
          <w:sz w:val="28"/>
          <w:szCs w:val="28"/>
        </w:rPr>
        <w:t>代</w:t>
      </w:r>
      <w:r>
        <w:rPr>
          <w:rFonts w:ascii="宋体" w:hAnsi="宋体"/>
          <w:sz w:val="28"/>
          <w:szCs w:val="28"/>
        </w:rPr>
        <w:t xml:space="preserve"> </w:t>
      </w:r>
      <w:r>
        <w:rPr>
          <w:rFonts w:hint="eastAsia" w:ascii="宋体" w:hAnsi="宋体"/>
          <w:sz w:val="28"/>
          <w:szCs w:val="28"/>
        </w:rPr>
        <w:t>表</w:t>
      </w:r>
      <w:r>
        <w:rPr>
          <w:rFonts w:ascii="宋体" w:hAnsi="宋体"/>
          <w:sz w:val="28"/>
          <w:szCs w:val="28"/>
        </w:rPr>
        <w:t xml:space="preserve"> </w:t>
      </w:r>
      <w:r>
        <w:rPr>
          <w:rFonts w:hint="eastAsia" w:ascii="宋体" w:hAnsi="宋体"/>
          <w:sz w:val="28"/>
          <w:szCs w:val="28"/>
        </w:rPr>
        <w:t>人（或代理人）：</w:t>
      </w:r>
      <w:r>
        <w:rPr>
          <w:rFonts w:hint="eastAsia" w:ascii="宋体" w:hAnsi="宋体"/>
          <w:sz w:val="28"/>
          <w:szCs w:val="28"/>
          <w:u w:val="single"/>
        </w:rPr>
        <w:t xml:space="preserve">                     （</w:t>
      </w:r>
      <w:r>
        <w:rPr>
          <w:rFonts w:hint="eastAsia" w:ascii="宋体" w:hAnsi="宋体"/>
          <w:sz w:val="28"/>
          <w:szCs w:val="28"/>
        </w:rPr>
        <w:t>签章）</w:t>
      </w:r>
    </w:p>
    <w:p w14:paraId="7E099DE2">
      <w:pPr>
        <w:spacing w:line="720" w:lineRule="auto"/>
        <w:jc w:val="left"/>
        <w:rPr>
          <w:rFonts w:ascii="宋体" w:hAnsi="宋体"/>
          <w:sz w:val="28"/>
          <w:szCs w:val="28"/>
        </w:rPr>
      </w:pPr>
      <w:r>
        <w:rPr>
          <w:rFonts w:hint="eastAsia" w:ascii="宋体" w:hAnsi="宋体"/>
          <w:spacing w:val="24"/>
          <w:sz w:val="28"/>
          <w:szCs w:val="28"/>
        </w:rPr>
        <w:t>招标代理机构</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b/>
          <w:bCs/>
          <w:sz w:val="28"/>
          <w:szCs w:val="28"/>
          <w:u w:val="single"/>
        </w:rPr>
        <w:t>江苏三实工程管理咨询有限公司</w:t>
      </w:r>
      <w:r>
        <w:rPr>
          <w:rFonts w:hint="eastAsia" w:ascii="宋体" w:hAnsi="宋体"/>
          <w:sz w:val="28"/>
          <w:szCs w:val="28"/>
          <w:u w:val="single"/>
        </w:rPr>
        <w:t>（</w:t>
      </w:r>
      <w:r>
        <w:rPr>
          <w:rFonts w:hint="eastAsia" w:ascii="宋体" w:hAnsi="宋体"/>
          <w:sz w:val="28"/>
          <w:szCs w:val="28"/>
        </w:rPr>
        <w:t>公章）</w:t>
      </w:r>
    </w:p>
    <w:p w14:paraId="1CDE16C8">
      <w:pPr>
        <w:spacing w:line="720" w:lineRule="auto"/>
        <w:jc w:val="left"/>
        <w:rPr>
          <w:rFonts w:ascii="宋体" w:hAnsi="宋体"/>
          <w:sz w:val="28"/>
          <w:szCs w:val="28"/>
        </w:rPr>
      </w:pPr>
      <w:r>
        <w:rPr>
          <w:rFonts w:hint="eastAsia" w:ascii="宋体" w:hAnsi="宋体"/>
          <w:sz w:val="28"/>
          <w:szCs w:val="28"/>
        </w:rPr>
        <w:t>法</w:t>
      </w:r>
      <w:r>
        <w:rPr>
          <w:rFonts w:ascii="宋体" w:hAnsi="宋体"/>
          <w:sz w:val="28"/>
          <w:szCs w:val="28"/>
        </w:rPr>
        <w:t xml:space="preserve"> </w:t>
      </w:r>
      <w:r>
        <w:rPr>
          <w:rFonts w:hint="eastAsia" w:ascii="宋体" w:hAnsi="宋体"/>
          <w:sz w:val="28"/>
          <w:szCs w:val="28"/>
        </w:rPr>
        <w:t>定</w:t>
      </w:r>
      <w:r>
        <w:rPr>
          <w:rFonts w:ascii="宋体" w:hAnsi="宋体"/>
          <w:sz w:val="28"/>
          <w:szCs w:val="28"/>
        </w:rPr>
        <w:t xml:space="preserve"> </w:t>
      </w:r>
      <w:r>
        <w:rPr>
          <w:rFonts w:hint="eastAsia" w:ascii="宋体" w:hAnsi="宋体"/>
          <w:sz w:val="28"/>
          <w:szCs w:val="28"/>
        </w:rPr>
        <w:t>代</w:t>
      </w:r>
      <w:r>
        <w:rPr>
          <w:rFonts w:ascii="宋体" w:hAnsi="宋体"/>
          <w:sz w:val="28"/>
          <w:szCs w:val="28"/>
        </w:rPr>
        <w:t xml:space="preserve"> </w:t>
      </w:r>
      <w:r>
        <w:rPr>
          <w:rFonts w:hint="eastAsia" w:ascii="宋体" w:hAnsi="宋体"/>
          <w:sz w:val="28"/>
          <w:szCs w:val="28"/>
        </w:rPr>
        <w:t>表</w:t>
      </w:r>
      <w:r>
        <w:rPr>
          <w:rFonts w:ascii="宋体" w:hAnsi="宋体"/>
          <w:sz w:val="28"/>
          <w:szCs w:val="28"/>
        </w:rPr>
        <w:t xml:space="preserve"> </w:t>
      </w:r>
      <w:r>
        <w:rPr>
          <w:rFonts w:hint="eastAsia" w:ascii="宋体" w:hAnsi="宋体"/>
          <w:sz w:val="28"/>
          <w:szCs w:val="28"/>
        </w:rPr>
        <w:t>人（或代理人）：</w:t>
      </w:r>
      <w:r>
        <w:rPr>
          <w:rFonts w:hint="eastAsia" w:ascii="宋体" w:hAnsi="宋体"/>
          <w:sz w:val="28"/>
          <w:szCs w:val="28"/>
          <w:u w:val="single"/>
        </w:rPr>
        <w:t xml:space="preserve">                     （</w:t>
      </w:r>
      <w:r>
        <w:rPr>
          <w:rFonts w:hint="eastAsia" w:ascii="宋体" w:hAnsi="宋体"/>
          <w:sz w:val="28"/>
          <w:szCs w:val="28"/>
        </w:rPr>
        <w:t>签章）</w:t>
      </w:r>
    </w:p>
    <w:p w14:paraId="213BF248">
      <w:pPr>
        <w:rPr>
          <w:rFonts w:ascii="黑体" w:eastAsia="黑体"/>
          <w:sz w:val="28"/>
          <w:szCs w:val="28"/>
        </w:rPr>
      </w:pPr>
      <w:r>
        <w:rPr>
          <w:rFonts w:hint="eastAsia" w:ascii="黑体" w:eastAsia="黑体"/>
          <w:sz w:val="28"/>
          <w:szCs w:val="28"/>
        </w:rPr>
        <w:t xml:space="preserve">      </w:t>
      </w:r>
    </w:p>
    <w:p w14:paraId="0FA7977D">
      <w:pPr>
        <w:ind w:firstLine="2100" w:firstLineChars="750"/>
        <w:jc w:val="right"/>
        <w:rPr>
          <w:rFonts w:ascii="黑体" w:eastAsia="黑体"/>
          <w:sz w:val="28"/>
          <w:szCs w:val="28"/>
        </w:rPr>
      </w:pPr>
    </w:p>
    <w:p w14:paraId="08766253">
      <w:pPr>
        <w:jc w:val="center"/>
        <w:rPr>
          <w:rFonts w:ascii="黑体" w:eastAsia="黑体"/>
          <w:sz w:val="28"/>
          <w:szCs w:val="28"/>
        </w:rPr>
      </w:pPr>
      <w:r>
        <w:rPr>
          <w:rFonts w:hint="eastAsia" w:ascii="宋体" w:hAnsi="宋体"/>
          <w:sz w:val="28"/>
          <w:szCs w:val="28"/>
          <w:u w:val="single"/>
        </w:rPr>
        <w:t xml:space="preserve"> 2025 </w:t>
      </w:r>
      <w:r>
        <w:rPr>
          <w:rFonts w:hint="eastAsia" w:ascii="宋体" w:hAnsi="宋体" w:cs="宋体"/>
          <w:b/>
          <w:bCs/>
          <w:sz w:val="28"/>
          <w:szCs w:val="28"/>
        </w:rPr>
        <w:t>年</w:t>
      </w:r>
      <w:r>
        <w:rPr>
          <w:rFonts w:hint="eastAsia" w:ascii="宋体" w:hAnsi="宋体"/>
          <w:sz w:val="28"/>
          <w:szCs w:val="28"/>
          <w:u w:val="single"/>
        </w:rPr>
        <w:t xml:space="preserve"> 3 </w:t>
      </w:r>
      <w:r>
        <w:rPr>
          <w:rFonts w:hint="eastAsia" w:ascii="宋体" w:hAnsi="宋体" w:cs="宋体"/>
          <w:b/>
          <w:bCs/>
          <w:sz w:val="28"/>
          <w:szCs w:val="28"/>
        </w:rPr>
        <w:t>月</w:t>
      </w:r>
    </w:p>
    <w:p w14:paraId="0CBF0FD7">
      <w:pPr>
        <w:spacing w:line="360" w:lineRule="auto"/>
        <w:jc w:val="center"/>
        <w:rPr>
          <w:rFonts w:ascii="宋体" w:hAnsi="宋体" w:cs="宋体"/>
          <w:b/>
          <w:bCs/>
          <w:sz w:val="44"/>
          <w:szCs w:val="44"/>
        </w:rPr>
        <w:sectPr>
          <w:footerReference r:id="rId3" w:type="default"/>
          <w:pgSz w:w="12240" w:h="15840"/>
          <w:pgMar w:top="1417" w:right="1553" w:bottom="1417" w:left="1553" w:header="0" w:footer="862" w:gutter="0"/>
          <w:cols w:space="0" w:num="1"/>
        </w:sectPr>
      </w:pPr>
    </w:p>
    <w:p w14:paraId="7FD47870">
      <w:pPr>
        <w:spacing w:line="336" w:lineRule="auto"/>
        <w:jc w:val="center"/>
        <w:rPr>
          <w:rFonts w:ascii="宋体" w:hAnsi="宋体" w:cs="宋体"/>
          <w:b/>
          <w:bCs/>
          <w:sz w:val="24"/>
        </w:rPr>
      </w:pPr>
      <w:r>
        <w:rPr>
          <w:rFonts w:hint="eastAsia" w:ascii="宋体" w:hAnsi="宋体" w:cs="宋体"/>
          <w:b/>
          <w:bCs/>
          <w:sz w:val="24"/>
        </w:rPr>
        <w:t>特别提示</w:t>
      </w:r>
    </w:p>
    <w:p w14:paraId="35AABB6F">
      <w:pPr>
        <w:pStyle w:val="33"/>
        <w:rPr>
          <w:color w:val="auto"/>
        </w:rPr>
      </w:pPr>
    </w:p>
    <w:p w14:paraId="254D118B">
      <w:pPr>
        <w:widowControl/>
        <w:spacing w:line="336" w:lineRule="auto"/>
        <w:ind w:firstLine="420" w:firstLineChars="200"/>
        <w:jc w:val="left"/>
        <w:textAlignment w:val="center"/>
      </w:pPr>
      <w:r>
        <w:rPr>
          <w:rFonts w:hint="eastAsia" w:ascii="宋体" w:hAnsi="宋体" w:cs="宋体"/>
          <w:kern w:val="0"/>
          <w:szCs w:val="21"/>
        </w:rPr>
        <w:t>1、用于编制、上传、解密投标文件的电脑应为win7以上操作系统，装有谷歌、360、火狐等浏览器（本系统暂不支持IE浏览器）、WPS 或 Office Word 2013以上版本，不支持简装版、未激活版。</w:t>
      </w:r>
    </w:p>
    <w:p w14:paraId="7DFF14FA">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2、编制及上传、解密投标文件均需使用手机CA证书，使用手机CA证书必须先在电脑正确安装“筑龙数字签名服务（CA驱动程序）”。如解密电脑与制作标书电脑不是同一台，应提前检查解密电脑是否安装了CA驱动。</w:t>
      </w:r>
    </w:p>
    <w:p w14:paraId="2A6D8D72">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3、投标人应密切留意招标文件的更新情况，应根据最后一次发布的电子招标文件制作投标文件。如因使用旧版招标文件制作投标文件而造成不利于投标人后果的，责任由投标人自行承担。</w:t>
      </w:r>
    </w:p>
    <w:p w14:paraId="4C4E1FD0">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4、制作标书时，导入的文件大小须控制在200M以内（若文件过大，请注意控制文件中的扫描图片或截图等图片大小，或将word先转成pdf格式后再行导入），否则可能导致文件加密失败。</w:t>
      </w:r>
    </w:p>
    <w:p w14:paraId="7970A824">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5、在递交投标文件截止时间之前，如需对已上传投标文件进行修改，可点击【撤回递交文件】按钮，撤销成功后，可以在规定时间内重新制作、上传投标文件。</w:t>
      </w:r>
    </w:p>
    <w:p w14:paraId="4A17FFCB">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6、如上传及解密过程出现错误提示，应首先检查是否使用企业CA登录、本机是否安装有其他CA驱动。</w:t>
      </w:r>
    </w:p>
    <w:p w14:paraId="4B895714">
      <w:pPr>
        <w:widowControl/>
        <w:spacing w:line="336" w:lineRule="auto"/>
        <w:ind w:firstLine="420" w:firstLineChars="200"/>
        <w:jc w:val="left"/>
        <w:textAlignment w:val="center"/>
      </w:pPr>
      <w:r>
        <w:rPr>
          <w:rFonts w:hint="eastAsia" w:ascii="宋体" w:hAnsi="宋体" w:cs="宋体"/>
          <w:kern w:val="0"/>
          <w:szCs w:val="21"/>
        </w:rPr>
        <w:t>7、建议投标人至少在投标截止时间2小时前，登录平台，检查企业CA、浏览器工作环境是否正常，如有问题应及时联系平台技术支持。</w:t>
      </w:r>
    </w:p>
    <w:p w14:paraId="6ACD7A37">
      <w:pPr>
        <w:pStyle w:val="33"/>
        <w:widowControl/>
        <w:autoSpaceDE/>
        <w:autoSpaceDN/>
        <w:adjustRightInd/>
        <w:spacing w:line="336" w:lineRule="auto"/>
        <w:ind w:firstLine="420" w:firstLineChars="200"/>
        <w:textAlignment w:val="center"/>
        <w:rPr>
          <w:rFonts w:ascii="宋体" w:hAnsi="宋体" w:eastAsia="宋体" w:cs="宋体"/>
          <w:color w:val="auto"/>
          <w:sz w:val="21"/>
          <w:szCs w:val="21"/>
        </w:rPr>
      </w:pPr>
      <w:r>
        <w:rPr>
          <w:rFonts w:hint="eastAsia" w:ascii="宋体" w:hAnsi="宋体" w:eastAsia="宋体" w:cs="宋体"/>
          <w:color w:val="auto"/>
          <w:sz w:val="21"/>
          <w:szCs w:val="21"/>
        </w:rPr>
        <w:t>8、建议投标人在招标人或代理公司唱标结束后保持登录，在线确认各投标人的唱标信息后退出登录，对于未确认的视同确认。</w:t>
      </w:r>
    </w:p>
    <w:p w14:paraId="2407E879">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9、对于竞争性谈判、单一来源等采购方式的项目，投标人在解密后应保持在线，以便及时参与评委发起的二轮或多轮澄清及报价。</w:t>
      </w:r>
    </w:p>
    <w:p w14:paraId="2DA5D4ED">
      <w:pPr>
        <w:widowControl/>
        <w:spacing w:line="336" w:lineRule="auto"/>
        <w:ind w:firstLine="420" w:firstLineChars="200"/>
        <w:jc w:val="left"/>
        <w:textAlignment w:val="center"/>
        <w:rPr>
          <w:rFonts w:ascii="宋体" w:hAnsi="宋体" w:cs="宋体"/>
          <w:kern w:val="0"/>
          <w:szCs w:val="21"/>
        </w:rPr>
      </w:pPr>
      <w:r>
        <w:rPr>
          <w:rFonts w:hint="eastAsia" w:ascii="宋体" w:hAnsi="宋体" w:cs="宋体"/>
          <w:kern w:val="0"/>
          <w:szCs w:val="21"/>
        </w:rPr>
        <w:t>10、使用“海兴控股集团</w:t>
      </w:r>
      <w:r>
        <w:rPr>
          <w:rFonts w:hint="eastAsia" w:ascii="宋体" w:hAnsi="宋体" w:cs="宋体"/>
          <w:kern w:val="0"/>
          <w:szCs w:val="21"/>
          <w:lang w:val="zh-CN"/>
        </w:rPr>
        <w:t>电子招标</w:t>
      </w:r>
      <w:r>
        <w:rPr>
          <w:rFonts w:hint="eastAsia" w:ascii="宋体" w:hAnsi="宋体" w:cs="宋体"/>
          <w:kern w:val="0"/>
          <w:szCs w:val="21"/>
        </w:rPr>
        <w:t>采购</w:t>
      </w:r>
      <w:r>
        <w:rPr>
          <w:rFonts w:hint="eastAsia" w:ascii="宋体" w:hAnsi="宋体" w:cs="宋体"/>
          <w:kern w:val="0"/>
          <w:szCs w:val="21"/>
          <w:lang w:val="zh-CN"/>
        </w:rPr>
        <w:t>交易平台</w:t>
      </w:r>
      <w:r>
        <w:rPr>
          <w:rFonts w:hint="eastAsia" w:ascii="宋体" w:hAnsi="宋体" w:cs="宋体"/>
          <w:kern w:val="0"/>
          <w:szCs w:val="21"/>
        </w:rPr>
        <w:t>”（</w:t>
      </w:r>
      <w:r>
        <w:rPr>
          <w:rFonts w:hint="eastAsia" w:ascii="宋体" w:hAnsi="宋体"/>
          <w:szCs w:val="21"/>
        </w:rPr>
        <w:t>以下简称“电子交易平台”</w:t>
      </w:r>
      <w:r>
        <w:rPr>
          <w:rFonts w:hint="eastAsia" w:ascii="宋体" w:hAnsi="宋体" w:cs="宋体"/>
          <w:kern w:val="0"/>
          <w:szCs w:val="21"/>
        </w:rPr>
        <w:t>）在投标文件递交截止时间前（</w:t>
      </w:r>
      <w:r>
        <w:rPr>
          <w:rFonts w:hint="eastAsia" w:ascii="宋体" w:hAnsi="宋体"/>
          <w:szCs w:val="21"/>
        </w:rPr>
        <w:t>为防止因开标前集中上传投标文件造成的网络拥堵，导致投标人无法在投标截止时间前成功上传投标文件，建议投标人在开标前尽早把投标文件上传到“电子交易平台”【</w:t>
      </w:r>
      <w:r>
        <w:rPr>
          <w:rFonts w:hint="eastAsia" w:ascii="宋体" w:hAnsi="宋体"/>
          <w:szCs w:val="21"/>
          <w:lang w:val="zh-CN"/>
        </w:rPr>
        <w:t>网址</w:t>
      </w:r>
      <w:r>
        <w:rPr>
          <w:rFonts w:hint="eastAsia" w:ascii="宋体" w:hAnsi="宋体"/>
          <w:szCs w:val="21"/>
        </w:rPr>
        <w:t>：https://ychx.dacaigou.com/）】</w:t>
      </w:r>
      <w:r>
        <w:rPr>
          <w:rFonts w:hint="eastAsia" w:ascii="宋体" w:hAnsi="宋体" w:cs="宋体"/>
          <w:kern w:val="0"/>
          <w:szCs w:val="21"/>
        </w:rPr>
        <w:t>完成加密投标文件的上传。</w:t>
      </w:r>
    </w:p>
    <w:p w14:paraId="174F56BC">
      <w:pPr>
        <w:rPr>
          <w:b/>
          <w:kern w:val="0"/>
          <w:sz w:val="44"/>
          <w:szCs w:val="44"/>
        </w:rPr>
      </w:pPr>
      <w:r>
        <w:rPr>
          <w:b/>
          <w:kern w:val="0"/>
          <w:sz w:val="44"/>
          <w:szCs w:val="44"/>
        </w:rPr>
        <w:br w:type="page"/>
      </w:r>
    </w:p>
    <w:p w14:paraId="466B6215">
      <w:pPr>
        <w:pStyle w:val="33"/>
        <w:rPr>
          <w:color w:val="auto"/>
        </w:rPr>
      </w:pPr>
    </w:p>
    <w:p w14:paraId="0CBD981C">
      <w:pPr>
        <w:widowControl/>
        <w:snapToGrid w:val="0"/>
        <w:spacing w:line="413" w:lineRule="atLeast"/>
        <w:jc w:val="center"/>
        <w:rPr>
          <w:kern w:val="0"/>
          <w:sz w:val="56"/>
          <w:szCs w:val="56"/>
        </w:rPr>
      </w:pPr>
      <w:r>
        <w:rPr>
          <w:b/>
          <w:kern w:val="0"/>
          <w:sz w:val="56"/>
          <w:szCs w:val="56"/>
        </w:rPr>
        <w:t>目  录</w:t>
      </w:r>
    </w:p>
    <w:p w14:paraId="690055B2">
      <w:pPr>
        <w:widowControl/>
        <w:snapToGrid w:val="0"/>
        <w:spacing w:line="413" w:lineRule="atLeast"/>
        <w:ind w:firstLine="555"/>
        <w:rPr>
          <w:kern w:val="0"/>
          <w:sz w:val="24"/>
        </w:rPr>
      </w:pPr>
    </w:p>
    <w:p w14:paraId="52584BFB">
      <w:pPr>
        <w:widowControl/>
        <w:snapToGrid w:val="0"/>
        <w:spacing w:line="500" w:lineRule="exact"/>
        <w:ind w:firstLine="551" w:firstLineChars="196"/>
        <w:rPr>
          <w:b/>
          <w:kern w:val="0"/>
          <w:sz w:val="28"/>
          <w:szCs w:val="28"/>
        </w:rPr>
      </w:pPr>
    </w:p>
    <w:p w14:paraId="0993F449">
      <w:pPr>
        <w:widowControl/>
        <w:snapToGrid w:val="0"/>
        <w:spacing w:line="500" w:lineRule="exact"/>
        <w:ind w:firstLine="2160" w:firstLineChars="600"/>
        <w:rPr>
          <w:bCs/>
          <w:kern w:val="0"/>
          <w:sz w:val="36"/>
          <w:szCs w:val="36"/>
        </w:rPr>
      </w:pPr>
      <w:r>
        <w:rPr>
          <w:bCs/>
          <w:kern w:val="0"/>
          <w:sz w:val="36"/>
          <w:szCs w:val="36"/>
        </w:rPr>
        <w:t>第一章      招标公告</w:t>
      </w:r>
    </w:p>
    <w:p w14:paraId="73EFDDE2">
      <w:pPr>
        <w:widowControl/>
        <w:snapToGrid w:val="0"/>
        <w:spacing w:line="500" w:lineRule="exact"/>
        <w:ind w:firstLine="1440" w:firstLineChars="400"/>
        <w:rPr>
          <w:bCs/>
          <w:kern w:val="0"/>
          <w:sz w:val="36"/>
          <w:szCs w:val="36"/>
        </w:rPr>
      </w:pPr>
      <w:r>
        <w:rPr>
          <w:bCs/>
          <w:kern w:val="0"/>
          <w:sz w:val="36"/>
          <w:szCs w:val="36"/>
        </w:rPr>
        <w:t> </w:t>
      </w:r>
    </w:p>
    <w:p w14:paraId="1B530DC8">
      <w:pPr>
        <w:widowControl/>
        <w:snapToGrid w:val="0"/>
        <w:spacing w:line="500" w:lineRule="exact"/>
        <w:ind w:firstLine="2160" w:firstLineChars="600"/>
        <w:rPr>
          <w:bCs/>
          <w:kern w:val="0"/>
          <w:sz w:val="36"/>
          <w:szCs w:val="36"/>
        </w:rPr>
      </w:pPr>
      <w:r>
        <w:rPr>
          <w:bCs/>
          <w:kern w:val="0"/>
          <w:sz w:val="36"/>
          <w:szCs w:val="36"/>
        </w:rPr>
        <w:t>第二章      投标人须知</w:t>
      </w:r>
    </w:p>
    <w:p w14:paraId="2C226E8F">
      <w:pPr>
        <w:widowControl/>
        <w:snapToGrid w:val="0"/>
        <w:spacing w:line="500" w:lineRule="exact"/>
        <w:ind w:firstLine="1440" w:firstLineChars="400"/>
        <w:rPr>
          <w:bCs/>
          <w:kern w:val="0"/>
          <w:sz w:val="36"/>
          <w:szCs w:val="36"/>
        </w:rPr>
      </w:pPr>
      <w:r>
        <w:rPr>
          <w:bCs/>
          <w:kern w:val="0"/>
          <w:sz w:val="36"/>
          <w:szCs w:val="36"/>
        </w:rPr>
        <w:t> </w:t>
      </w:r>
    </w:p>
    <w:p w14:paraId="33CE5E9A">
      <w:pPr>
        <w:widowControl/>
        <w:snapToGrid w:val="0"/>
        <w:spacing w:line="500" w:lineRule="exact"/>
        <w:rPr>
          <w:bCs/>
          <w:kern w:val="0"/>
          <w:sz w:val="36"/>
          <w:szCs w:val="36"/>
        </w:rPr>
      </w:pPr>
      <w:r>
        <w:rPr>
          <w:bCs/>
          <w:kern w:val="0"/>
          <w:sz w:val="36"/>
          <w:szCs w:val="36"/>
        </w:rPr>
        <w:t xml:space="preserve">            第三章      评标办法</w:t>
      </w:r>
    </w:p>
    <w:p w14:paraId="02799F72">
      <w:pPr>
        <w:pStyle w:val="26"/>
        <w:ind w:left="840" w:leftChars="400" w:firstLine="0" w:firstLineChars="0"/>
        <w:rPr>
          <w:rFonts w:ascii="Times New Roman" w:eastAsia="宋体"/>
          <w:b w:val="0"/>
          <w:sz w:val="36"/>
          <w:szCs w:val="36"/>
        </w:rPr>
      </w:pPr>
    </w:p>
    <w:p w14:paraId="31B6592C">
      <w:pPr>
        <w:widowControl/>
        <w:snapToGrid w:val="0"/>
        <w:spacing w:line="500" w:lineRule="exact"/>
        <w:ind w:firstLine="2160" w:firstLineChars="600"/>
        <w:rPr>
          <w:bCs/>
          <w:kern w:val="0"/>
          <w:sz w:val="36"/>
          <w:szCs w:val="36"/>
        </w:rPr>
      </w:pPr>
      <w:r>
        <w:rPr>
          <w:bCs/>
          <w:kern w:val="0"/>
          <w:sz w:val="36"/>
          <w:szCs w:val="36"/>
        </w:rPr>
        <w:t xml:space="preserve">第四章      </w:t>
      </w:r>
      <w:r>
        <w:rPr>
          <w:rFonts w:hint="eastAsia"/>
          <w:bCs/>
          <w:kern w:val="0"/>
          <w:sz w:val="36"/>
          <w:szCs w:val="36"/>
        </w:rPr>
        <w:t>发包人要求（项目需求）</w:t>
      </w:r>
    </w:p>
    <w:p w14:paraId="29CA6BE5">
      <w:pPr>
        <w:widowControl/>
        <w:snapToGrid w:val="0"/>
        <w:spacing w:line="500" w:lineRule="exact"/>
        <w:ind w:firstLine="1440" w:firstLineChars="400"/>
        <w:rPr>
          <w:bCs/>
          <w:kern w:val="0"/>
          <w:sz w:val="36"/>
          <w:szCs w:val="36"/>
        </w:rPr>
      </w:pPr>
    </w:p>
    <w:p w14:paraId="262D05BD">
      <w:pPr>
        <w:widowControl/>
        <w:snapToGrid w:val="0"/>
        <w:spacing w:line="500" w:lineRule="exact"/>
        <w:ind w:firstLine="2160" w:firstLineChars="600"/>
        <w:rPr>
          <w:bCs/>
          <w:kern w:val="0"/>
          <w:sz w:val="36"/>
          <w:szCs w:val="36"/>
        </w:rPr>
      </w:pPr>
      <w:r>
        <w:rPr>
          <w:bCs/>
          <w:kern w:val="0"/>
          <w:sz w:val="36"/>
          <w:szCs w:val="36"/>
        </w:rPr>
        <w:t>第五章      合同条款及格式</w:t>
      </w:r>
    </w:p>
    <w:p w14:paraId="59D50197">
      <w:pPr>
        <w:widowControl/>
        <w:snapToGrid w:val="0"/>
        <w:spacing w:line="500" w:lineRule="exact"/>
        <w:ind w:firstLine="1440" w:firstLineChars="400"/>
        <w:rPr>
          <w:bCs/>
          <w:kern w:val="0"/>
          <w:sz w:val="36"/>
          <w:szCs w:val="36"/>
        </w:rPr>
      </w:pPr>
    </w:p>
    <w:p w14:paraId="7C197A13">
      <w:pPr>
        <w:widowControl/>
        <w:numPr>
          <w:ilvl w:val="0"/>
          <w:numId w:val="1"/>
        </w:numPr>
        <w:snapToGrid w:val="0"/>
        <w:spacing w:line="500" w:lineRule="exact"/>
        <w:ind w:firstLine="2160" w:firstLineChars="600"/>
        <w:rPr>
          <w:bCs/>
          <w:kern w:val="0"/>
          <w:sz w:val="36"/>
          <w:szCs w:val="36"/>
        </w:rPr>
      </w:pPr>
      <w:r>
        <w:rPr>
          <w:bCs/>
          <w:kern w:val="0"/>
          <w:sz w:val="36"/>
          <w:szCs w:val="36"/>
        </w:rPr>
        <w:t xml:space="preserve">     投标文件格式</w:t>
      </w:r>
    </w:p>
    <w:p w14:paraId="78E44E17">
      <w:pPr>
        <w:pStyle w:val="25"/>
      </w:pPr>
    </w:p>
    <w:p w14:paraId="364BAF1E">
      <w:pPr>
        <w:pStyle w:val="25"/>
        <w:ind w:firstLine="0"/>
      </w:pPr>
    </w:p>
    <w:p w14:paraId="5B4B77F4">
      <w:pPr>
        <w:pStyle w:val="26"/>
        <w:ind w:firstLine="422"/>
        <w:rPr>
          <w:rFonts w:ascii="Times New Roman" w:eastAsia="宋体"/>
        </w:rPr>
      </w:pPr>
    </w:p>
    <w:p w14:paraId="5062CF24">
      <w:pPr>
        <w:rPr>
          <w:b/>
          <w:bCs/>
          <w:kern w:val="0"/>
          <w:sz w:val="36"/>
          <w:szCs w:val="36"/>
        </w:rPr>
      </w:pPr>
      <w:r>
        <w:rPr>
          <w:b/>
          <w:bCs/>
          <w:kern w:val="0"/>
          <w:sz w:val="36"/>
          <w:szCs w:val="36"/>
        </w:rPr>
        <w:br w:type="page"/>
      </w:r>
    </w:p>
    <w:p w14:paraId="0EC70ACB">
      <w:pPr>
        <w:widowControl/>
        <w:snapToGrid w:val="0"/>
        <w:spacing w:line="500" w:lineRule="exact"/>
        <w:jc w:val="center"/>
        <w:rPr>
          <w:b/>
          <w:bCs/>
          <w:kern w:val="0"/>
          <w:sz w:val="44"/>
          <w:szCs w:val="44"/>
        </w:rPr>
      </w:pPr>
      <w:r>
        <w:rPr>
          <w:b/>
          <w:bCs/>
          <w:kern w:val="0"/>
          <w:sz w:val="44"/>
          <w:szCs w:val="44"/>
        </w:rPr>
        <w:t xml:space="preserve">第一章 </w:t>
      </w:r>
      <w:r>
        <w:rPr>
          <w:b/>
          <w:kern w:val="0"/>
          <w:sz w:val="44"/>
          <w:szCs w:val="44"/>
        </w:rPr>
        <w:t xml:space="preserve"> </w:t>
      </w:r>
      <w:r>
        <w:rPr>
          <w:b/>
          <w:bCs/>
          <w:kern w:val="0"/>
          <w:sz w:val="44"/>
          <w:szCs w:val="44"/>
        </w:rPr>
        <w:t>招标公告</w:t>
      </w:r>
    </w:p>
    <w:p w14:paraId="052C5E58">
      <w:pPr>
        <w:pStyle w:val="3"/>
        <w:spacing w:beforeLines="100" w:afterLines="100" w:line="240" w:lineRule="auto"/>
        <w:textAlignment w:val="center"/>
        <w:rPr>
          <w:kern w:val="0"/>
          <w:sz w:val="32"/>
          <w:szCs w:val="32"/>
        </w:rPr>
      </w:pPr>
      <w:bookmarkStart w:id="13" w:name="_GoBack"/>
      <w:r>
        <w:rPr>
          <w:sz w:val="32"/>
          <w:szCs w:val="32"/>
        </w:rPr>
        <w:t>一、招标条件</w:t>
      </w:r>
    </w:p>
    <w:p w14:paraId="13947623">
      <w:pPr>
        <w:spacing w:line="360" w:lineRule="auto"/>
        <w:ind w:firstLine="420" w:firstLineChars="200"/>
        <w:textAlignment w:val="center"/>
        <w:rPr>
          <w:kern w:val="0"/>
          <w:szCs w:val="21"/>
        </w:rPr>
      </w:pPr>
      <w:r>
        <w:rPr>
          <w:rFonts w:hint="eastAsia" w:ascii="宋体" w:hAnsi="宋体" w:cs="宋体"/>
          <w:szCs w:val="21"/>
          <w:lang w:eastAsia="zh-CN"/>
        </w:rPr>
        <w:t>邻里中心宿舍楼门禁系统采购项目</w:t>
      </w:r>
      <w:r>
        <w:rPr>
          <w:kern w:val="0"/>
          <w:szCs w:val="21"/>
        </w:rPr>
        <w:t>已具备招标条件，</w:t>
      </w:r>
      <w:r>
        <w:rPr>
          <w:szCs w:val="21"/>
          <w:shd w:val="clear" w:color="auto" w:fill="FFFFFF"/>
        </w:rPr>
        <w:t>所需资金来源自筹并已落实。现通过公开招标方式邀请潜在投标人参加本项目的投标。现就有关事项公告如下：</w:t>
      </w:r>
    </w:p>
    <w:p w14:paraId="17FD8343">
      <w:pPr>
        <w:pStyle w:val="3"/>
        <w:spacing w:beforeLines="100" w:afterLines="100" w:line="240" w:lineRule="auto"/>
        <w:textAlignment w:val="center"/>
        <w:rPr>
          <w:sz w:val="32"/>
          <w:szCs w:val="32"/>
        </w:rPr>
      </w:pPr>
      <w:r>
        <w:rPr>
          <w:rFonts w:hint="eastAsia"/>
          <w:sz w:val="32"/>
          <w:szCs w:val="32"/>
        </w:rPr>
        <w:t>二</w:t>
      </w:r>
      <w:r>
        <w:rPr>
          <w:sz w:val="32"/>
          <w:szCs w:val="32"/>
        </w:rPr>
        <w:t>、项目概况</w:t>
      </w:r>
    </w:p>
    <w:p w14:paraId="514336EA">
      <w:pPr>
        <w:spacing w:line="360" w:lineRule="auto"/>
        <w:ind w:firstLine="420" w:firstLineChars="200"/>
        <w:textAlignment w:val="center"/>
        <w:rPr>
          <w:kern w:val="0"/>
          <w:szCs w:val="21"/>
        </w:rPr>
      </w:pPr>
      <w:r>
        <w:rPr>
          <w:rFonts w:hint="eastAsia"/>
          <w:kern w:val="0"/>
          <w:szCs w:val="21"/>
        </w:rPr>
        <w:t>1、项目名称：</w:t>
      </w:r>
      <w:bookmarkStart w:id="0" w:name="_Toc403987196"/>
      <w:r>
        <w:rPr>
          <w:rFonts w:hint="eastAsia" w:ascii="宋体" w:hAnsi="宋体" w:cs="宋体"/>
          <w:szCs w:val="21"/>
          <w:lang w:eastAsia="zh-CN"/>
        </w:rPr>
        <w:t>邻里中心宿舍楼门禁系统采购项目</w:t>
      </w:r>
      <w:r>
        <w:rPr>
          <w:rFonts w:hint="eastAsia"/>
          <w:kern w:val="0"/>
          <w:szCs w:val="21"/>
        </w:rPr>
        <w:t>。</w:t>
      </w:r>
    </w:p>
    <w:p w14:paraId="2F07739D">
      <w:pPr>
        <w:spacing w:line="360" w:lineRule="auto"/>
        <w:ind w:firstLine="420" w:firstLineChars="200"/>
        <w:textAlignment w:val="center"/>
        <w:rPr>
          <w:kern w:val="0"/>
          <w:szCs w:val="21"/>
        </w:rPr>
      </w:pPr>
      <w:r>
        <w:rPr>
          <w:rFonts w:hint="eastAsia"/>
          <w:kern w:val="0"/>
          <w:szCs w:val="21"/>
        </w:rPr>
        <w:t>2、</w:t>
      </w:r>
      <w:bookmarkEnd w:id="0"/>
      <w:r>
        <w:rPr>
          <w:rFonts w:hint="eastAsia"/>
          <w:kern w:val="0"/>
          <w:szCs w:val="21"/>
        </w:rPr>
        <w:t>项目地点：</w:t>
      </w:r>
      <w:r>
        <w:rPr>
          <w:rFonts w:hint="eastAsia"/>
        </w:rPr>
        <w:t>江苏省盐城市滨海县新滩邻里中心</w:t>
      </w:r>
      <w:r>
        <w:rPr>
          <w:rFonts w:hint="eastAsia"/>
          <w:kern w:val="0"/>
          <w:szCs w:val="21"/>
        </w:rPr>
        <w:t>。</w:t>
      </w:r>
    </w:p>
    <w:p w14:paraId="0A149DC0">
      <w:pPr>
        <w:spacing w:line="360" w:lineRule="auto"/>
        <w:ind w:firstLine="420" w:firstLineChars="200"/>
        <w:textAlignment w:val="center"/>
        <w:rPr>
          <w:kern w:val="0"/>
          <w:szCs w:val="21"/>
        </w:rPr>
      </w:pPr>
      <w:r>
        <w:rPr>
          <w:rFonts w:hint="eastAsia"/>
          <w:kern w:val="0"/>
          <w:szCs w:val="21"/>
        </w:rPr>
        <w:t>3、项目规模及招标范围：新滩邻里中心宿舍楼安装门禁系统，共23个单元，其中高层宿舍需更换7个单元门，具体详见工程量清单，招标人保留对上述招标范围进行适当调整的权利。</w:t>
      </w:r>
    </w:p>
    <w:p w14:paraId="2DE8D579">
      <w:pPr>
        <w:spacing w:line="360" w:lineRule="auto"/>
        <w:ind w:firstLine="420" w:firstLineChars="200"/>
        <w:textAlignment w:val="center"/>
        <w:rPr>
          <w:kern w:val="0"/>
          <w:szCs w:val="21"/>
        </w:rPr>
      </w:pPr>
      <w:r>
        <w:rPr>
          <w:rFonts w:hint="eastAsia"/>
          <w:kern w:val="0"/>
          <w:szCs w:val="21"/>
        </w:rPr>
        <w:t>4、供货期限（含安装调试期限）：</w:t>
      </w:r>
      <w:permStart w:id="0" w:edGrp="everyone"/>
      <w:r>
        <w:rPr>
          <w:rFonts w:hint="eastAsia" w:ascii="宋体" w:hAnsi="宋体" w:cs="宋体"/>
          <w:szCs w:val="21"/>
          <w:u w:val="single"/>
        </w:rPr>
        <w:t>15</w:t>
      </w:r>
      <w:permEnd w:id="0"/>
      <w:r>
        <w:rPr>
          <w:szCs w:val="21"/>
        </w:rPr>
        <w:t>日历天。具体开工日期以招标人发出的开工令为准</w:t>
      </w:r>
      <w:r>
        <w:rPr>
          <w:rFonts w:hint="eastAsia"/>
          <w:kern w:val="0"/>
          <w:szCs w:val="21"/>
        </w:rPr>
        <w:t>。</w:t>
      </w:r>
    </w:p>
    <w:p w14:paraId="4B5827A5">
      <w:pPr>
        <w:spacing w:line="360" w:lineRule="auto"/>
        <w:ind w:firstLine="420" w:firstLineChars="200"/>
        <w:textAlignment w:val="center"/>
      </w:pPr>
      <w:r>
        <w:rPr>
          <w:rFonts w:hint="eastAsia"/>
          <w:kern w:val="0"/>
          <w:szCs w:val="21"/>
        </w:rPr>
        <w:t>5、质量标准：合格</w:t>
      </w:r>
      <w:r>
        <w:rPr>
          <w:rFonts w:hint="eastAsia"/>
        </w:rPr>
        <w:t>。</w:t>
      </w:r>
    </w:p>
    <w:p w14:paraId="4D4C4356">
      <w:pPr>
        <w:spacing w:line="360" w:lineRule="auto"/>
        <w:ind w:firstLine="420" w:firstLineChars="200"/>
        <w:textAlignment w:val="center"/>
        <w:rPr>
          <w:rFonts w:ascii="宋体" w:hAnsi="宋体" w:cs="宋体"/>
          <w:szCs w:val="21"/>
        </w:rPr>
      </w:pPr>
      <w:r>
        <w:rPr>
          <w:rFonts w:hint="eastAsia"/>
          <w:kern w:val="0"/>
          <w:szCs w:val="21"/>
        </w:rPr>
        <w:t>6、质量保修期：</w:t>
      </w:r>
      <w:r>
        <w:rPr>
          <w:rFonts w:hint="eastAsia" w:ascii="宋体" w:hAnsi="宋体" w:cs="宋体"/>
          <w:szCs w:val="21"/>
        </w:rPr>
        <w:t>产品实行“三包”，质保期为2年，自最终验收合格、交付使用之日起计算。在保修期内，一旦发生质量问题，投标人保证在接到通知24小时内响应，2天内赶到现场进行修理、更换或退货，费用由投标人负责。如投标人在接到通知后24小时内没有答复，则视为投标人承认质量问题并承担由此发生的一切费用。保修期间的一切质量问题，更换部件及本身质量原因造成的直接经济损失应全部由投标人负责。</w:t>
      </w:r>
    </w:p>
    <w:p w14:paraId="10E0B5D3">
      <w:pPr>
        <w:pStyle w:val="26"/>
        <w:ind w:left="0" w:leftChars="0"/>
        <w:rPr>
          <w:b w:val="0"/>
          <w:bCs w:val="0"/>
        </w:rPr>
      </w:pPr>
      <w:r>
        <w:rPr>
          <w:rFonts w:hint="eastAsia" w:ascii="Times New Roman" w:eastAsia="宋体"/>
          <w:b w:val="0"/>
          <w:bCs w:val="0"/>
          <w:szCs w:val="21"/>
        </w:rPr>
        <w:t>7、验收方式：通过主管部门验收。</w:t>
      </w:r>
    </w:p>
    <w:p w14:paraId="5E33A8B7">
      <w:pPr>
        <w:pStyle w:val="3"/>
        <w:spacing w:beforeLines="100" w:afterLines="100" w:line="240" w:lineRule="auto"/>
        <w:textAlignment w:val="center"/>
        <w:rPr>
          <w:sz w:val="32"/>
          <w:szCs w:val="32"/>
        </w:rPr>
      </w:pPr>
      <w:r>
        <w:rPr>
          <w:rFonts w:hint="eastAsia"/>
          <w:sz w:val="32"/>
          <w:szCs w:val="32"/>
        </w:rPr>
        <w:t>三、投标人资格要求</w:t>
      </w:r>
    </w:p>
    <w:p w14:paraId="184EFFD6">
      <w:pPr>
        <w:spacing w:line="360" w:lineRule="auto"/>
        <w:ind w:firstLine="420" w:firstLineChars="200"/>
        <w:textAlignment w:val="center"/>
        <w:rPr>
          <w:kern w:val="0"/>
          <w:szCs w:val="21"/>
        </w:rPr>
      </w:pPr>
      <w:r>
        <w:rPr>
          <w:rFonts w:hint="eastAsia"/>
          <w:kern w:val="0"/>
          <w:szCs w:val="21"/>
        </w:rPr>
        <w:t>1、投标人资质类别和等级：</w:t>
      </w:r>
      <w:r>
        <w:rPr>
          <w:rFonts w:hint="eastAsia" w:ascii="宋体" w:hAnsi="宋体" w:cs="宋体"/>
          <w:szCs w:val="21"/>
        </w:rPr>
        <w:t>投标人须是在中华人民共和国境内注册，具备建设行政主管部门核发的电子与智能化工程专业承包二级及以上资质的独立法人，并具有有效期内的安全生产许可证。</w:t>
      </w:r>
      <w:r>
        <w:rPr>
          <w:rFonts w:hint="eastAsia"/>
          <w:kern w:val="0"/>
          <w:szCs w:val="21"/>
        </w:rPr>
        <w:t xml:space="preserve">                 </w:t>
      </w:r>
    </w:p>
    <w:p w14:paraId="2B1B4C95">
      <w:pPr>
        <w:spacing w:line="360" w:lineRule="auto"/>
        <w:ind w:firstLine="420" w:firstLineChars="200"/>
        <w:textAlignment w:val="center"/>
        <w:rPr>
          <w:kern w:val="0"/>
          <w:szCs w:val="21"/>
        </w:rPr>
      </w:pPr>
      <w:r>
        <w:rPr>
          <w:rFonts w:hint="eastAsia"/>
          <w:kern w:val="0"/>
          <w:szCs w:val="21"/>
        </w:rPr>
        <w:t>2、项目负责人的资格要求：项目负责人须是投标人本单位正式职工，具有机电工程专业二级及以上建造师注册证书，并且取得《建筑施工企业项目负责人安全生产考核合格证》(B类)。</w:t>
      </w:r>
    </w:p>
    <w:p w14:paraId="329DBBB7">
      <w:pPr>
        <w:spacing w:line="360" w:lineRule="auto"/>
        <w:ind w:firstLine="420" w:firstLineChars="200"/>
        <w:textAlignment w:val="center"/>
        <w:rPr>
          <w:kern w:val="0"/>
          <w:szCs w:val="21"/>
        </w:rPr>
      </w:pPr>
      <w:r>
        <w:rPr>
          <w:rFonts w:hint="eastAsia"/>
          <w:kern w:val="0"/>
          <w:szCs w:val="21"/>
        </w:rPr>
        <w:t>3、项目组成员必须是投标人本单位正式职工，需专业配备齐全，并具备相应的岗位证书。投标时，仅需提供项目负责人相关资料，其他项目组成员按照招标人要求和项目需要配备到位。</w:t>
      </w:r>
    </w:p>
    <w:p w14:paraId="0122895A">
      <w:pPr>
        <w:spacing w:line="360" w:lineRule="auto"/>
        <w:ind w:firstLine="420" w:firstLineChars="200"/>
        <w:textAlignment w:val="center"/>
        <w:rPr>
          <w:kern w:val="0"/>
          <w:szCs w:val="21"/>
        </w:rPr>
      </w:pPr>
      <w:r>
        <w:rPr>
          <w:rFonts w:hint="eastAsia"/>
          <w:kern w:val="0"/>
          <w:szCs w:val="21"/>
        </w:rPr>
        <w:t>4、业绩要求：  /  。</w:t>
      </w:r>
    </w:p>
    <w:p w14:paraId="3972BDED">
      <w:pPr>
        <w:spacing w:line="360" w:lineRule="auto"/>
        <w:ind w:firstLine="420" w:firstLineChars="200"/>
        <w:textAlignment w:val="center"/>
        <w:rPr>
          <w:kern w:val="0"/>
          <w:szCs w:val="21"/>
        </w:rPr>
      </w:pPr>
      <w:r>
        <w:rPr>
          <w:rFonts w:hint="eastAsia"/>
          <w:kern w:val="0"/>
          <w:szCs w:val="21"/>
        </w:rPr>
        <w:t>5、财务要求：投标人应具有独立订立合同的能力，未处于财产被接管、冻结和破产状态。</w:t>
      </w:r>
    </w:p>
    <w:p w14:paraId="424DF1C4">
      <w:pPr>
        <w:spacing w:line="440" w:lineRule="exact"/>
        <w:ind w:firstLine="420" w:firstLineChars="200"/>
        <w:textAlignment w:val="center"/>
        <w:rPr>
          <w:kern w:val="0"/>
          <w:szCs w:val="21"/>
        </w:rPr>
      </w:pPr>
      <w:r>
        <w:rPr>
          <w:rFonts w:hint="eastAsia"/>
          <w:kern w:val="0"/>
          <w:szCs w:val="21"/>
        </w:rPr>
        <w:t>6、信誉要求：</w:t>
      </w:r>
      <w:r>
        <w:rPr>
          <w:rFonts w:hint="eastAsia" w:ascii="宋体" w:hAnsi="宋体"/>
          <w:bCs/>
          <w:spacing w:val="6"/>
          <w:szCs w:val="21"/>
        </w:rPr>
        <w:t>投标人不得存在下列情形：</w:t>
      </w:r>
    </w:p>
    <w:p w14:paraId="41B8B9D8">
      <w:pPr>
        <w:spacing w:line="360" w:lineRule="auto"/>
        <w:ind w:firstLine="420" w:firstLineChars="200"/>
        <w:textAlignment w:val="center"/>
        <w:rPr>
          <w:kern w:val="0"/>
          <w:szCs w:val="21"/>
        </w:rPr>
      </w:pPr>
      <w:r>
        <w:rPr>
          <w:rFonts w:hint="eastAsia"/>
          <w:kern w:val="0"/>
          <w:szCs w:val="21"/>
        </w:rPr>
        <w:t>6.1被国家、江苏本省省级有关部门及盐城本市市级、滨海县县级有关部门暂停招投标或市场准入资格且在公示处罚期内的。</w:t>
      </w:r>
    </w:p>
    <w:p w14:paraId="38E1F99B">
      <w:pPr>
        <w:spacing w:line="360" w:lineRule="auto"/>
        <w:ind w:firstLine="420" w:firstLineChars="200"/>
        <w:textAlignment w:val="center"/>
        <w:rPr>
          <w:kern w:val="0"/>
          <w:szCs w:val="21"/>
        </w:rPr>
      </w:pPr>
      <w:r>
        <w:rPr>
          <w:rFonts w:hint="eastAsia"/>
          <w:kern w:val="0"/>
          <w:szCs w:val="21"/>
        </w:rPr>
        <w:t>6.2被盐城市海兴控股集团有限公司暂停参加本司招投标活动且在处罚期内。</w:t>
      </w:r>
    </w:p>
    <w:p w14:paraId="11FFA497">
      <w:pPr>
        <w:spacing w:line="360" w:lineRule="auto"/>
        <w:ind w:firstLine="420" w:firstLineChars="200"/>
        <w:textAlignment w:val="center"/>
        <w:rPr>
          <w:kern w:val="0"/>
          <w:szCs w:val="21"/>
        </w:rPr>
      </w:pPr>
      <w:r>
        <w:rPr>
          <w:rFonts w:hint="eastAsia"/>
          <w:kern w:val="0"/>
          <w:szCs w:val="21"/>
        </w:rPr>
        <w:t>6.3在招投标活动中存在招标文件正文10.1.1条不良行为的，在“江苏省建设工程招标网”</w:t>
      </w:r>
      <w:r>
        <w:rPr>
          <w:rFonts w:hint="eastAsia"/>
        </w:rPr>
        <w:t>等招标网</w:t>
      </w:r>
      <w:r>
        <w:rPr>
          <w:rFonts w:hint="eastAsia"/>
          <w:kern w:val="0"/>
          <w:szCs w:val="21"/>
        </w:rPr>
        <w:t>公示期间的。</w:t>
      </w:r>
    </w:p>
    <w:p w14:paraId="648C996D">
      <w:pPr>
        <w:spacing w:line="360" w:lineRule="auto"/>
        <w:ind w:firstLine="420" w:firstLineChars="200"/>
        <w:textAlignment w:val="center"/>
        <w:rPr>
          <w:kern w:val="0"/>
          <w:szCs w:val="21"/>
        </w:rPr>
      </w:pPr>
      <w:r>
        <w:rPr>
          <w:rFonts w:hint="eastAsia"/>
          <w:kern w:val="0"/>
          <w:szCs w:val="21"/>
        </w:rPr>
        <w:t>6.4近3年内有行贿犯罪行为且被记录，或者法定代表人、项目负责人有行贿犯罪记录且自记录之日起未超过5年的。（均自记录之日起至投标截止日止）</w:t>
      </w:r>
    </w:p>
    <w:p w14:paraId="32C63FAC">
      <w:pPr>
        <w:spacing w:line="360" w:lineRule="auto"/>
        <w:ind w:firstLine="420" w:firstLineChars="200"/>
        <w:textAlignment w:val="center"/>
        <w:rPr>
          <w:kern w:val="0"/>
          <w:szCs w:val="21"/>
        </w:rPr>
      </w:pPr>
      <w:r>
        <w:rPr>
          <w:rFonts w:hint="eastAsia"/>
          <w:kern w:val="0"/>
          <w:szCs w:val="21"/>
        </w:rPr>
        <w:t>6.5被人民法院列为失信被执行人的信息正在被“信用中国”、“信用江苏”</w:t>
      </w:r>
      <w:r>
        <w:rPr>
          <w:rFonts w:hint="eastAsia"/>
        </w:rPr>
        <w:t>等信用</w:t>
      </w:r>
      <w:r>
        <w:rPr>
          <w:rFonts w:hint="eastAsia"/>
          <w:kern w:val="0"/>
          <w:szCs w:val="21"/>
        </w:rPr>
        <w:t>网站公布的，投标截止时间前失信被执行人信息已撤销或更正的除外。</w:t>
      </w:r>
    </w:p>
    <w:p w14:paraId="212941E6">
      <w:pPr>
        <w:spacing w:line="360" w:lineRule="auto"/>
        <w:ind w:firstLine="420" w:firstLineChars="200"/>
        <w:textAlignment w:val="center"/>
        <w:rPr>
          <w:kern w:val="0"/>
          <w:szCs w:val="21"/>
        </w:rPr>
      </w:pPr>
      <w:r>
        <w:rPr>
          <w:rFonts w:hint="eastAsia"/>
          <w:kern w:val="0"/>
          <w:szCs w:val="21"/>
        </w:rPr>
        <w:t>6.6投标人作为失信联合惩戒对象被采取依法限制参与建设工程招投标惩戒措施的，且被有关部门推送在“信用中国”、“信用江苏”、“信用盐城”相关网站公示且在有效期内的。</w:t>
      </w:r>
    </w:p>
    <w:p w14:paraId="2DDF60F6">
      <w:pPr>
        <w:spacing w:line="360" w:lineRule="auto"/>
        <w:ind w:firstLine="420" w:firstLineChars="200"/>
        <w:textAlignment w:val="center"/>
        <w:rPr>
          <w:kern w:val="0"/>
          <w:szCs w:val="21"/>
        </w:rPr>
      </w:pPr>
      <w:r>
        <w:rPr>
          <w:rFonts w:hint="eastAsia"/>
          <w:kern w:val="0"/>
          <w:szCs w:val="21"/>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6FADA99D">
      <w:pPr>
        <w:spacing w:line="360" w:lineRule="auto"/>
        <w:ind w:firstLine="420" w:firstLineChars="200"/>
        <w:textAlignment w:val="center"/>
        <w:rPr>
          <w:kern w:val="0"/>
          <w:szCs w:val="21"/>
        </w:rPr>
      </w:pPr>
      <w:r>
        <w:rPr>
          <w:rFonts w:hint="eastAsia"/>
          <w:kern w:val="0"/>
          <w:szCs w:val="21"/>
        </w:rPr>
        <w:t>7、其他要求：投标人须保证投标承诺的项目负责人（含项目组成员）、委托代理人为本单位正式职工，并确保从2024年2月开始至投标截止之日当月至少连续6个月均已在本单位缴纳养老保险。（例：如开标日期为2015年10月的某一天，则投标单位需保证以上人员2015年2月以后任意连续6月养老保险均在本单位缴纳）。</w:t>
      </w:r>
    </w:p>
    <w:p w14:paraId="326566DE">
      <w:pPr>
        <w:spacing w:line="360" w:lineRule="auto"/>
        <w:ind w:firstLine="420" w:firstLineChars="200"/>
        <w:textAlignment w:val="center"/>
        <w:rPr>
          <w:kern w:val="0"/>
          <w:szCs w:val="21"/>
        </w:rPr>
      </w:pPr>
      <w:r>
        <w:rPr>
          <w:rFonts w:hint="eastAsia"/>
          <w:kern w:val="0"/>
          <w:szCs w:val="21"/>
        </w:rPr>
        <w:t>8、本项目招标不接受联合体投标。</w:t>
      </w:r>
    </w:p>
    <w:p w14:paraId="0C7AE346">
      <w:pPr>
        <w:spacing w:line="360" w:lineRule="auto"/>
        <w:ind w:firstLine="420" w:firstLineChars="200"/>
        <w:textAlignment w:val="center"/>
        <w:rPr>
          <w:kern w:val="0"/>
          <w:szCs w:val="21"/>
        </w:rPr>
      </w:pPr>
      <w:r>
        <w:rPr>
          <w:rFonts w:hint="eastAsia"/>
          <w:kern w:val="0"/>
          <w:szCs w:val="21"/>
        </w:rPr>
        <w:t>注：投标时无须提供上述5、6、7项证明材料，如有异议或招标人要求，再按要求提供相关证明材料。</w:t>
      </w:r>
    </w:p>
    <w:p w14:paraId="04815510">
      <w:pPr>
        <w:pStyle w:val="3"/>
        <w:spacing w:beforeLines="100" w:afterLines="100" w:line="240" w:lineRule="auto"/>
        <w:textAlignment w:val="center"/>
        <w:rPr>
          <w:sz w:val="32"/>
          <w:szCs w:val="32"/>
        </w:rPr>
      </w:pPr>
      <w:r>
        <w:rPr>
          <w:rFonts w:hint="eastAsia"/>
          <w:sz w:val="32"/>
          <w:szCs w:val="32"/>
        </w:rPr>
        <w:t>四、资格审查</w:t>
      </w:r>
    </w:p>
    <w:p w14:paraId="46909BC3">
      <w:pPr>
        <w:spacing w:line="360" w:lineRule="auto"/>
        <w:ind w:firstLine="420" w:firstLineChars="200"/>
        <w:textAlignment w:val="center"/>
        <w:rPr>
          <w:kern w:val="0"/>
          <w:szCs w:val="21"/>
        </w:rPr>
      </w:pPr>
      <w:r>
        <w:rPr>
          <w:rFonts w:hint="eastAsia"/>
          <w:kern w:val="0"/>
          <w:szCs w:val="21"/>
        </w:rPr>
        <w:t>本项目采用资格后审、全数入围的方法确定合格的投标人。</w:t>
      </w:r>
    </w:p>
    <w:p w14:paraId="0A944AE7">
      <w:pPr>
        <w:pStyle w:val="3"/>
        <w:spacing w:beforeLines="100" w:afterLines="100" w:line="240" w:lineRule="auto"/>
        <w:textAlignment w:val="center"/>
        <w:rPr>
          <w:sz w:val="32"/>
          <w:szCs w:val="32"/>
        </w:rPr>
      </w:pPr>
      <w:r>
        <w:rPr>
          <w:rFonts w:hint="eastAsia"/>
          <w:sz w:val="32"/>
          <w:szCs w:val="32"/>
        </w:rPr>
        <w:t>五、评标办法</w:t>
      </w:r>
    </w:p>
    <w:p w14:paraId="013A3E1B">
      <w:pPr>
        <w:spacing w:line="360" w:lineRule="auto"/>
        <w:ind w:firstLine="420" w:firstLineChars="200"/>
        <w:textAlignment w:val="center"/>
        <w:rPr>
          <w:kern w:val="0"/>
          <w:szCs w:val="21"/>
        </w:rPr>
      </w:pPr>
      <w:r>
        <w:rPr>
          <w:rFonts w:hint="eastAsia"/>
          <w:kern w:val="0"/>
          <w:szCs w:val="21"/>
        </w:rPr>
        <w:t>本项目评标办法采用“</w:t>
      </w:r>
      <w:r>
        <w:rPr>
          <w:rFonts w:hint="eastAsia"/>
          <w:kern w:val="0"/>
          <w:szCs w:val="21"/>
          <w:lang w:val="en-US" w:eastAsia="zh-CN"/>
        </w:rPr>
        <w:t>合理低价法</w:t>
      </w:r>
      <w:r>
        <w:rPr>
          <w:rFonts w:hint="eastAsia"/>
          <w:kern w:val="0"/>
          <w:szCs w:val="21"/>
        </w:rPr>
        <w:t>”，具体评标办法详见招标文件。</w:t>
      </w:r>
    </w:p>
    <w:p w14:paraId="3D39B35B">
      <w:pPr>
        <w:pStyle w:val="3"/>
        <w:spacing w:beforeLines="100" w:afterLines="100" w:line="240" w:lineRule="auto"/>
        <w:textAlignment w:val="center"/>
        <w:rPr>
          <w:sz w:val="32"/>
          <w:szCs w:val="32"/>
        </w:rPr>
      </w:pPr>
      <w:r>
        <w:rPr>
          <w:rFonts w:hint="eastAsia"/>
          <w:sz w:val="32"/>
          <w:szCs w:val="32"/>
        </w:rPr>
        <w:t>六</w:t>
      </w:r>
      <w:r>
        <w:rPr>
          <w:sz w:val="32"/>
          <w:szCs w:val="32"/>
        </w:rPr>
        <w:t>、招标文件的获取</w:t>
      </w:r>
    </w:p>
    <w:p w14:paraId="183DEE4D">
      <w:pPr>
        <w:spacing w:line="360" w:lineRule="auto"/>
        <w:ind w:firstLine="420" w:firstLineChars="200"/>
        <w:textAlignment w:val="center"/>
        <w:rPr>
          <w:kern w:val="0"/>
          <w:szCs w:val="21"/>
        </w:rPr>
      </w:pPr>
      <w:r>
        <w:rPr>
          <w:rFonts w:hint="eastAsia"/>
          <w:kern w:val="0"/>
          <w:szCs w:val="21"/>
        </w:rPr>
        <w:t>1、本公告发布之日起至投标截止时间止，凡有意参加投标者，请登录“海兴控股集团</w:t>
      </w:r>
      <w:r>
        <w:rPr>
          <w:rFonts w:hint="eastAsia"/>
          <w:kern w:val="0"/>
          <w:szCs w:val="21"/>
          <w:lang w:val="zh-CN"/>
        </w:rPr>
        <w:t>电子招标</w:t>
      </w:r>
      <w:r>
        <w:rPr>
          <w:rFonts w:hint="eastAsia"/>
          <w:kern w:val="0"/>
          <w:szCs w:val="21"/>
        </w:rPr>
        <w:t>采购</w:t>
      </w:r>
      <w:r>
        <w:rPr>
          <w:rFonts w:hint="eastAsia"/>
          <w:kern w:val="0"/>
          <w:szCs w:val="21"/>
          <w:lang w:val="zh-CN"/>
        </w:rPr>
        <w:t>交易</w:t>
      </w:r>
      <w:r>
        <w:rPr>
          <w:rFonts w:hint="eastAsia"/>
          <w:kern w:val="0"/>
          <w:szCs w:val="21"/>
        </w:rPr>
        <w:t>系统”（</w:t>
      </w:r>
      <w:r>
        <w:rPr>
          <w:rFonts w:hint="eastAsia"/>
          <w:kern w:val="0"/>
          <w:szCs w:val="21"/>
          <w:lang w:val="zh-CN"/>
        </w:rPr>
        <w:t>网址</w:t>
      </w:r>
      <w:r>
        <w:rPr>
          <w:rFonts w:hint="eastAsia"/>
          <w:kern w:val="0"/>
          <w:szCs w:val="21"/>
        </w:rPr>
        <w:t>：https://ychx.dacaigou.com/）获取招标文件。</w:t>
      </w:r>
    </w:p>
    <w:p w14:paraId="169A3FE1">
      <w:pPr>
        <w:spacing w:line="360" w:lineRule="auto"/>
        <w:ind w:firstLine="420" w:firstLineChars="200"/>
        <w:textAlignment w:val="center"/>
        <w:rPr>
          <w:kern w:val="0"/>
          <w:szCs w:val="21"/>
          <w:lang w:val="zh-CN"/>
        </w:rPr>
      </w:pPr>
      <w:r>
        <w:rPr>
          <w:rFonts w:hint="eastAsia"/>
          <w:kern w:val="0"/>
          <w:szCs w:val="21"/>
        </w:rPr>
        <w:t>2、领取时间：</w:t>
      </w:r>
      <w:r>
        <w:rPr>
          <w:rFonts w:hint="eastAsia"/>
          <w:kern w:val="0"/>
          <w:szCs w:val="21"/>
          <w:highlight w:val="none"/>
        </w:rPr>
        <w:t>202</w:t>
      </w:r>
      <w:r>
        <w:rPr>
          <w:rFonts w:hint="eastAsia"/>
          <w:highlight w:val="none"/>
        </w:rPr>
        <w:t>5</w:t>
      </w:r>
      <w:r>
        <w:rPr>
          <w:rFonts w:hint="eastAsia"/>
          <w:kern w:val="0"/>
          <w:szCs w:val="21"/>
          <w:highlight w:val="none"/>
          <w:lang w:val="zh-CN"/>
        </w:rPr>
        <w:t>年</w:t>
      </w:r>
      <w:r>
        <w:rPr>
          <w:rFonts w:hint="eastAsia"/>
          <w:kern w:val="0"/>
          <w:szCs w:val="21"/>
          <w:highlight w:val="none"/>
          <w:lang w:val="en-US" w:eastAsia="zh-CN"/>
        </w:rPr>
        <w:t>3</w:t>
      </w:r>
      <w:r>
        <w:rPr>
          <w:rFonts w:hint="eastAsia"/>
          <w:kern w:val="0"/>
          <w:szCs w:val="21"/>
          <w:highlight w:val="none"/>
          <w:lang w:val="zh-CN"/>
        </w:rPr>
        <w:t>月</w:t>
      </w:r>
      <w:r>
        <w:rPr>
          <w:rFonts w:hint="eastAsia"/>
          <w:kern w:val="0"/>
          <w:szCs w:val="21"/>
          <w:highlight w:val="none"/>
          <w:lang w:val="en-US" w:eastAsia="zh-CN"/>
        </w:rPr>
        <w:t>14</w:t>
      </w:r>
      <w:r>
        <w:rPr>
          <w:rFonts w:hint="eastAsia"/>
          <w:kern w:val="0"/>
          <w:szCs w:val="21"/>
          <w:highlight w:val="none"/>
          <w:lang w:val="zh-CN"/>
        </w:rPr>
        <w:t>日至</w:t>
      </w:r>
      <w:r>
        <w:rPr>
          <w:rFonts w:hint="eastAsia"/>
          <w:kern w:val="0"/>
          <w:szCs w:val="21"/>
          <w:highlight w:val="none"/>
        </w:rPr>
        <w:t>202</w:t>
      </w:r>
      <w:r>
        <w:rPr>
          <w:rFonts w:hint="eastAsia"/>
          <w:highlight w:val="none"/>
        </w:rPr>
        <w:t>5</w:t>
      </w:r>
      <w:r>
        <w:rPr>
          <w:rFonts w:hint="eastAsia"/>
          <w:kern w:val="0"/>
          <w:szCs w:val="21"/>
          <w:highlight w:val="none"/>
          <w:lang w:val="zh-CN"/>
        </w:rPr>
        <w:t>年</w:t>
      </w:r>
      <w:r>
        <w:rPr>
          <w:rFonts w:hint="eastAsia"/>
          <w:kern w:val="0"/>
          <w:szCs w:val="21"/>
          <w:highlight w:val="none"/>
          <w:lang w:val="en-US" w:eastAsia="zh-CN"/>
        </w:rPr>
        <w:t>3</w:t>
      </w:r>
      <w:r>
        <w:rPr>
          <w:rFonts w:hint="eastAsia"/>
          <w:kern w:val="0"/>
          <w:szCs w:val="21"/>
          <w:highlight w:val="none"/>
          <w:lang w:val="zh-CN"/>
        </w:rPr>
        <w:t>月</w:t>
      </w:r>
      <w:r>
        <w:rPr>
          <w:rFonts w:hint="eastAsia"/>
          <w:kern w:val="0"/>
          <w:szCs w:val="21"/>
          <w:highlight w:val="none"/>
          <w:lang w:val="en-US" w:eastAsia="zh-CN"/>
        </w:rPr>
        <w:t>21</w:t>
      </w:r>
      <w:r>
        <w:rPr>
          <w:rFonts w:hint="eastAsia"/>
          <w:kern w:val="0"/>
          <w:szCs w:val="21"/>
          <w:highlight w:val="none"/>
          <w:lang w:val="zh-CN"/>
        </w:rPr>
        <w:t>日1</w:t>
      </w:r>
      <w:r>
        <w:rPr>
          <w:rFonts w:hint="eastAsia"/>
          <w:kern w:val="0"/>
          <w:szCs w:val="21"/>
          <w:highlight w:val="none"/>
        </w:rPr>
        <w:t>8</w:t>
      </w:r>
      <w:r>
        <w:rPr>
          <w:rFonts w:hint="eastAsia"/>
          <w:kern w:val="0"/>
          <w:szCs w:val="21"/>
          <w:highlight w:val="none"/>
          <w:lang w:val="zh-CN"/>
        </w:rPr>
        <w:t>:00时止</w:t>
      </w:r>
      <w:r>
        <w:rPr>
          <w:rFonts w:hint="eastAsia"/>
          <w:kern w:val="0"/>
          <w:szCs w:val="21"/>
          <w:lang w:val="zh-CN"/>
        </w:rPr>
        <w:t>（北京时间，法定节假日除外），未按规定获取招标文件的，其投标文件将被否决。</w:t>
      </w:r>
    </w:p>
    <w:p w14:paraId="34EFF468">
      <w:pPr>
        <w:pStyle w:val="3"/>
        <w:spacing w:beforeLines="100" w:afterLines="100" w:line="240" w:lineRule="auto"/>
        <w:textAlignment w:val="center"/>
        <w:rPr>
          <w:sz w:val="32"/>
          <w:szCs w:val="32"/>
        </w:rPr>
      </w:pPr>
      <w:r>
        <w:rPr>
          <w:sz w:val="32"/>
          <w:szCs w:val="32"/>
        </w:rPr>
        <w:t>七、投标文件的递交</w:t>
      </w:r>
    </w:p>
    <w:p w14:paraId="7FE8186C">
      <w:pPr>
        <w:spacing w:line="360" w:lineRule="auto"/>
        <w:ind w:firstLine="420" w:firstLineChars="200"/>
        <w:textAlignment w:val="center"/>
        <w:rPr>
          <w:kern w:val="0"/>
          <w:szCs w:val="21"/>
          <w:lang w:val="zh-CN"/>
        </w:rPr>
      </w:pPr>
      <w:r>
        <w:rPr>
          <w:kern w:val="0"/>
          <w:szCs w:val="21"/>
        </w:rPr>
        <w:t>1、</w:t>
      </w:r>
      <w:r>
        <w:rPr>
          <w:kern w:val="0"/>
          <w:szCs w:val="21"/>
          <w:lang w:val="zh-CN"/>
        </w:rPr>
        <w:t>投标文件递交截止时间及开标时间：</w:t>
      </w:r>
      <w:r>
        <w:rPr>
          <w:rFonts w:hint="eastAsia"/>
          <w:kern w:val="0"/>
          <w:szCs w:val="21"/>
          <w:highlight w:val="none"/>
        </w:rPr>
        <w:t>202</w:t>
      </w:r>
      <w:r>
        <w:rPr>
          <w:rFonts w:hint="eastAsia"/>
          <w:highlight w:val="none"/>
        </w:rPr>
        <w:t>5</w:t>
      </w:r>
      <w:r>
        <w:rPr>
          <w:rFonts w:hint="eastAsia"/>
          <w:kern w:val="0"/>
          <w:szCs w:val="21"/>
          <w:highlight w:val="none"/>
          <w:lang w:val="zh-CN"/>
        </w:rPr>
        <w:t>年</w:t>
      </w:r>
      <w:r>
        <w:rPr>
          <w:rFonts w:hint="eastAsia"/>
          <w:kern w:val="0"/>
          <w:szCs w:val="21"/>
          <w:highlight w:val="none"/>
          <w:lang w:val="en-US" w:eastAsia="zh-CN"/>
        </w:rPr>
        <w:t>3</w:t>
      </w:r>
      <w:r>
        <w:rPr>
          <w:rFonts w:hint="eastAsia"/>
          <w:kern w:val="0"/>
          <w:szCs w:val="21"/>
          <w:highlight w:val="none"/>
          <w:lang w:val="zh-CN"/>
        </w:rPr>
        <w:t>月</w:t>
      </w:r>
      <w:r>
        <w:rPr>
          <w:rFonts w:hint="eastAsia"/>
          <w:kern w:val="0"/>
          <w:szCs w:val="21"/>
          <w:highlight w:val="none"/>
          <w:lang w:val="en-US" w:eastAsia="zh-CN"/>
        </w:rPr>
        <w:t>25</w:t>
      </w:r>
      <w:r>
        <w:rPr>
          <w:rFonts w:hint="eastAsia"/>
          <w:kern w:val="0"/>
          <w:szCs w:val="21"/>
          <w:highlight w:val="none"/>
          <w:lang w:val="zh-CN"/>
        </w:rPr>
        <w:t>日</w:t>
      </w:r>
      <w:r>
        <w:rPr>
          <w:rFonts w:hint="eastAsia"/>
          <w:kern w:val="0"/>
          <w:szCs w:val="21"/>
          <w:highlight w:val="none"/>
          <w:lang w:val="en-US" w:eastAsia="zh-CN"/>
        </w:rPr>
        <w:t>15</w:t>
      </w:r>
      <w:r>
        <w:rPr>
          <w:kern w:val="0"/>
          <w:szCs w:val="21"/>
          <w:highlight w:val="none"/>
          <w:lang w:val="zh-CN"/>
        </w:rPr>
        <w:t>时</w:t>
      </w:r>
      <w:r>
        <w:rPr>
          <w:rFonts w:hint="eastAsia"/>
          <w:kern w:val="0"/>
          <w:szCs w:val="21"/>
          <w:highlight w:val="none"/>
        </w:rPr>
        <w:t>00</w:t>
      </w:r>
      <w:r>
        <w:rPr>
          <w:kern w:val="0"/>
          <w:szCs w:val="21"/>
          <w:highlight w:val="none"/>
          <w:lang w:val="zh-CN"/>
        </w:rPr>
        <w:t>分</w:t>
      </w:r>
      <w:r>
        <w:rPr>
          <w:kern w:val="0"/>
          <w:szCs w:val="21"/>
          <w:lang w:val="zh-CN"/>
        </w:rPr>
        <w:t>（北京时间）</w:t>
      </w:r>
      <w:r>
        <w:rPr>
          <w:rFonts w:hint="eastAsia"/>
          <w:kern w:val="0"/>
          <w:szCs w:val="21"/>
          <w:lang w:val="zh-CN"/>
        </w:rPr>
        <w:t>。</w:t>
      </w:r>
    </w:p>
    <w:p w14:paraId="0288F132">
      <w:pPr>
        <w:spacing w:line="360" w:lineRule="auto"/>
        <w:ind w:firstLine="420" w:firstLineChars="200"/>
        <w:textAlignment w:val="center"/>
        <w:rPr>
          <w:kern w:val="0"/>
          <w:szCs w:val="21"/>
        </w:rPr>
      </w:pPr>
      <w:r>
        <w:rPr>
          <w:kern w:val="0"/>
          <w:szCs w:val="21"/>
        </w:rPr>
        <w:t>2、逾期送达的投标文件，招标人不予受理。</w:t>
      </w:r>
    </w:p>
    <w:p w14:paraId="58CF0333">
      <w:pPr>
        <w:pStyle w:val="3"/>
        <w:spacing w:beforeLines="100" w:afterLines="100" w:line="240" w:lineRule="auto"/>
        <w:textAlignment w:val="center"/>
        <w:rPr>
          <w:sz w:val="32"/>
          <w:szCs w:val="32"/>
        </w:rPr>
      </w:pPr>
      <w:r>
        <w:rPr>
          <w:sz w:val="32"/>
          <w:szCs w:val="32"/>
        </w:rPr>
        <w:t>八、公告发布媒介</w:t>
      </w:r>
    </w:p>
    <w:p w14:paraId="0B86777F">
      <w:pPr>
        <w:spacing w:line="360" w:lineRule="auto"/>
        <w:ind w:firstLine="420" w:firstLineChars="200"/>
        <w:textAlignment w:val="center"/>
        <w:rPr>
          <w:kern w:val="0"/>
          <w:szCs w:val="21"/>
        </w:rPr>
      </w:pPr>
      <w:r>
        <w:rPr>
          <w:rFonts w:hint="eastAsia"/>
          <w:kern w:val="0"/>
          <w:szCs w:val="21"/>
          <w:lang w:val="zh-CN"/>
        </w:rPr>
        <w:t>本次招标公告在盐城市海兴控股集团有限公司官网</w:t>
      </w:r>
      <w:r>
        <w:rPr>
          <w:rFonts w:hint="eastAsia"/>
          <w:kern w:val="0"/>
          <w:szCs w:val="21"/>
        </w:rPr>
        <w:t>（http://ychxjt.com.cn/）</w:t>
      </w:r>
      <w:r>
        <w:rPr>
          <w:rFonts w:hint="eastAsia"/>
          <w:kern w:val="0"/>
          <w:szCs w:val="21"/>
          <w:lang w:val="zh-CN"/>
        </w:rPr>
        <w:t>、海兴控股集团电子招标采购交易平台</w:t>
      </w:r>
      <w:r>
        <w:rPr>
          <w:rFonts w:hint="eastAsia"/>
          <w:kern w:val="0"/>
          <w:szCs w:val="21"/>
        </w:rPr>
        <w:t>（</w:t>
      </w:r>
      <w:r>
        <w:rPr>
          <w:rFonts w:hint="eastAsia"/>
          <w:kern w:val="0"/>
          <w:szCs w:val="21"/>
          <w:lang w:val="zh-CN"/>
        </w:rPr>
        <w:t>网址</w:t>
      </w:r>
      <w:r>
        <w:rPr>
          <w:rFonts w:hint="eastAsia"/>
          <w:kern w:val="0"/>
          <w:szCs w:val="21"/>
        </w:rPr>
        <w:t>：</w:t>
      </w:r>
      <w:r>
        <w:fldChar w:fldCharType="begin"/>
      </w:r>
      <w:r>
        <w:instrText xml:space="preserve"> HYPERLINK "https://ychx.dacaigou.com/）上发布。" </w:instrText>
      </w:r>
      <w:r>
        <w:fldChar w:fldCharType="separate"/>
      </w:r>
      <w:r>
        <w:rPr>
          <w:rFonts w:hint="eastAsia"/>
          <w:kern w:val="0"/>
          <w:szCs w:val="21"/>
        </w:rPr>
        <w:t>https://ychx.dacaigou.com/）</w:t>
      </w:r>
      <w:r>
        <w:rPr>
          <w:rFonts w:hint="eastAsia"/>
          <w:kern w:val="0"/>
          <w:szCs w:val="21"/>
          <w:lang w:val="zh-CN"/>
        </w:rPr>
        <w:t>上发布。</w:t>
      </w:r>
      <w:r>
        <w:rPr>
          <w:rFonts w:hint="eastAsia"/>
          <w:kern w:val="0"/>
          <w:szCs w:val="21"/>
          <w:lang w:val="zh-CN"/>
        </w:rPr>
        <w:fldChar w:fldCharType="end"/>
      </w:r>
    </w:p>
    <w:p w14:paraId="1578C625">
      <w:pPr>
        <w:pStyle w:val="3"/>
        <w:spacing w:beforeLines="100" w:afterLines="100" w:line="240" w:lineRule="auto"/>
        <w:textAlignment w:val="center"/>
        <w:rPr>
          <w:sz w:val="32"/>
          <w:szCs w:val="32"/>
        </w:rPr>
      </w:pPr>
      <w:r>
        <w:rPr>
          <w:sz w:val="32"/>
          <w:szCs w:val="32"/>
        </w:rPr>
        <w:t>九、联系方式</w:t>
      </w:r>
    </w:p>
    <w:p w14:paraId="153398F2">
      <w:pPr>
        <w:spacing w:line="360" w:lineRule="auto"/>
        <w:ind w:firstLine="420" w:firstLineChars="200"/>
        <w:textAlignment w:val="center"/>
        <w:rPr>
          <w:rFonts w:ascii="宋体" w:hAnsi="宋体" w:cs="宋体"/>
          <w:szCs w:val="21"/>
        </w:rPr>
      </w:pPr>
      <w:r>
        <w:rPr>
          <w:szCs w:val="21"/>
        </w:rPr>
        <w:t>招标人：</w:t>
      </w:r>
      <w:r>
        <w:rPr>
          <w:rFonts w:hint="eastAsia" w:ascii="宋体" w:hAnsi="宋体" w:cs="宋体"/>
          <w:szCs w:val="21"/>
        </w:rPr>
        <w:t xml:space="preserve">盐城市海兴控股集团有限公司  </w:t>
      </w:r>
      <w:r>
        <w:rPr>
          <w:rFonts w:ascii="宋体" w:hAnsi="宋体" w:cs="宋体"/>
          <w:szCs w:val="21"/>
        </w:rPr>
        <w:t xml:space="preserve"> </w:t>
      </w:r>
    </w:p>
    <w:p w14:paraId="20D71F64">
      <w:pPr>
        <w:spacing w:line="360" w:lineRule="auto"/>
        <w:ind w:firstLine="420" w:firstLineChars="200"/>
        <w:textAlignment w:val="center"/>
        <w:rPr>
          <w:szCs w:val="21"/>
        </w:rPr>
      </w:pPr>
      <w:r>
        <w:rPr>
          <w:szCs w:val="21"/>
        </w:rPr>
        <w:t xml:space="preserve">地址： </w:t>
      </w:r>
      <w:r>
        <w:rPr>
          <w:rFonts w:hint="eastAsia" w:ascii="宋体" w:hAnsi="宋体" w:cs="宋体"/>
          <w:szCs w:val="21"/>
        </w:rPr>
        <w:t>盐城市滨海县新滩邻里中心办公楼7楼</w:t>
      </w:r>
    </w:p>
    <w:p w14:paraId="3A6DC4BB">
      <w:pPr>
        <w:spacing w:line="360" w:lineRule="auto"/>
        <w:ind w:firstLine="420" w:firstLineChars="200"/>
        <w:textAlignment w:val="center"/>
        <w:rPr>
          <w:szCs w:val="21"/>
        </w:rPr>
      </w:pPr>
      <w:r>
        <w:rPr>
          <w:szCs w:val="21"/>
        </w:rPr>
        <w:t>联系人：</w:t>
      </w:r>
      <w:r>
        <w:rPr>
          <w:rFonts w:hint="eastAsia"/>
          <w:szCs w:val="21"/>
        </w:rPr>
        <w:t>王恩博</w:t>
      </w:r>
      <w:r>
        <w:rPr>
          <w:szCs w:val="21"/>
        </w:rPr>
        <w:t xml:space="preserve">                    </w:t>
      </w:r>
    </w:p>
    <w:p w14:paraId="322546BD">
      <w:pPr>
        <w:spacing w:line="360" w:lineRule="auto"/>
        <w:ind w:firstLine="420" w:firstLineChars="200"/>
        <w:textAlignment w:val="center"/>
        <w:rPr>
          <w:szCs w:val="21"/>
        </w:rPr>
      </w:pPr>
      <w:r>
        <w:rPr>
          <w:szCs w:val="21"/>
        </w:rPr>
        <w:t>联系电话：</w:t>
      </w:r>
      <w:r>
        <w:rPr>
          <w:rFonts w:hint="eastAsia"/>
          <w:szCs w:val="21"/>
        </w:rPr>
        <w:t>17705109860</w:t>
      </w:r>
    </w:p>
    <w:p w14:paraId="6130CDBA">
      <w:pPr>
        <w:spacing w:line="360" w:lineRule="auto"/>
        <w:ind w:firstLine="420" w:firstLineChars="200"/>
        <w:textAlignment w:val="center"/>
        <w:rPr>
          <w:szCs w:val="21"/>
        </w:rPr>
      </w:pPr>
    </w:p>
    <w:p w14:paraId="57E31589">
      <w:pPr>
        <w:spacing w:line="360" w:lineRule="auto"/>
        <w:ind w:firstLine="420" w:firstLineChars="200"/>
        <w:textAlignment w:val="center"/>
        <w:rPr>
          <w:szCs w:val="21"/>
        </w:rPr>
      </w:pPr>
      <w:r>
        <w:rPr>
          <w:szCs w:val="21"/>
        </w:rPr>
        <w:t>招标代理机构：</w:t>
      </w:r>
      <w:r>
        <w:rPr>
          <w:rFonts w:hint="eastAsia"/>
          <w:szCs w:val="21"/>
        </w:rPr>
        <w:t>江苏三实工程管理咨询有限公司</w:t>
      </w:r>
    </w:p>
    <w:p w14:paraId="27501F64">
      <w:pPr>
        <w:spacing w:line="360" w:lineRule="auto"/>
        <w:ind w:firstLine="420" w:firstLineChars="200"/>
        <w:textAlignment w:val="center"/>
        <w:rPr>
          <w:szCs w:val="21"/>
        </w:rPr>
      </w:pPr>
      <w:r>
        <w:rPr>
          <w:szCs w:val="21"/>
        </w:rPr>
        <w:t>地    址：</w:t>
      </w:r>
      <w:permStart w:id="1" w:edGrp="everyone"/>
      <w:r>
        <w:rPr>
          <w:rFonts w:hint="eastAsia" w:ascii="宋体" w:hAnsi="宋体" w:cs="宋体"/>
          <w:szCs w:val="21"/>
        </w:rPr>
        <w:t>盐城市新都西路29号紫金大厦15楼</w:t>
      </w:r>
      <w:permEnd w:id="1"/>
    </w:p>
    <w:p w14:paraId="7747FD99">
      <w:pPr>
        <w:spacing w:line="360" w:lineRule="auto"/>
        <w:ind w:firstLine="420" w:firstLineChars="200"/>
        <w:textAlignment w:val="center"/>
        <w:rPr>
          <w:szCs w:val="21"/>
        </w:rPr>
      </w:pPr>
      <w:r>
        <w:rPr>
          <w:szCs w:val="21"/>
        </w:rPr>
        <w:t>联 系 人：</w:t>
      </w:r>
      <w:permStart w:id="2" w:edGrp="everyone"/>
      <w:r>
        <w:rPr>
          <w:rFonts w:hint="eastAsia"/>
          <w:szCs w:val="21"/>
        </w:rPr>
        <w:t>吴必祥、尹加霖</w:t>
      </w:r>
      <w:permEnd w:id="2"/>
    </w:p>
    <w:p w14:paraId="37DE4641">
      <w:pPr>
        <w:spacing w:line="360" w:lineRule="auto"/>
        <w:ind w:firstLine="420" w:firstLineChars="200"/>
        <w:textAlignment w:val="center"/>
        <w:rPr>
          <w:b/>
          <w:bCs/>
          <w:kern w:val="0"/>
          <w:sz w:val="36"/>
          <w:szCs w:val="36"/>
        </w:rPr>
      </w:pPr>
      <w:r>
        <w:rPr>
          <w:szCs w:val="21"/>
        </w:rPr>
        <w:t>联系电话：</w:t>
      </w:r>
      <w:permStart w:id="3" w:edGrp="everyone"/>
      <w:r>
        <w:rPr>
          <w:rFonts w:hint="eastAsia"/>
          <w:szCs w:val="21"/>
        </w:rPr>
        <w:t>0515-88779960、18118683769</w:t>
      </w:r>
      <w:permEnd w:id="3"/>
      <w:r>
        <w:rPr>
          <w:szCs w:val="21"/>
        </w:rPr>
        <w:t xml:space="preserve"> </w:t>
      </w:r>
    </w:p>
    <w:bookmarkEnd w:id="13"/>
    <w:p w14:paraId="3CB2D984">
      <w:pPr>
        <w:spacing w:line="360" w:lineRule="auto"/>
        <w:ind w:firstLine="420" w:firstLineChars="200"/>
        <w:textAlignment w:val="center"/>
        <w:rPr>
          <w:szCs w:val="21"/>
        </w:rPr>
      </w:pPr>
    </w:p>
    <w:p w14:paraId="38940639">
      <w:pPr>
        <w:spacing w:line="360" w:lineRule="auto"/>
        <w:ind w:firstLine="723" w:firstLineChars="200"/>
        <w:textAlignment w:val="center"/>
        <w:rPr>
          <w:b/>
          <w:bCs/>
          <w:kern w:val="0"/>
          <w:sz w:val="36"/>
          <w:szCs w:val="36"/>
        </w:rPr>
      </w:pPr>
      <w:r>
        <w:rPr>
          <w:b/>
          <w:bCs/>
          <w:kern w:val="0"/>
          <w:sz w:val="36"/>
          <w:szCs w:val="36"/>
        </w:rPr>
        <w:br w:type="page"/>
      </w:r>
    </w:p>
    <w:p w14:paraId="6F3A55E1">
      <w:pPr>
        <w:widowControl/>
        <w:snapToGrid w:val="0"/>
        <w:spacing w:line="500" w:lineRule="exact"/>
        <w:jc w:val="center"/>
        <w:rPr>
          <w:b/>
          <w:bCs/>
          <w:kern w:val="0"/>
          <w:sz w:val="44"/>
          <w:szCs w:val="44"/>
        </w:rPr>
      </w:pPr>
      <w:r>
        <w:rPr>
          <w:b/>
          <w:bCs/>
          <w:kern w:val="0"/>
          <w:sz w:val="44"/>
          <w:szCs w:val="44"/>
        </w:rPr>
        <w:t>第二章  投标人须知</w:t>
      </w:r>
    </w:p>
    <w:p w14:paraId="6AC3AF82">
      <w:pPr>
        <w:pStyle w:val="6"/>
        <w:keepNext w:val="0"/>
        <w:keepLines w:val="0"/>
        <w:widowControl/>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1</w:t>
      </w:r>
      <w:r>
        <w:rPr>
          <w:rFonts w:hint="eastAsia" w:ascii="Times New Roman" w:hAnsi="Times New Roman" w:eastAsia="黑体"/>
          <w:kern w:val="28"/>
          <w:sz w:val="32"/>
          <w:szCs w:val="32"/>
        </w:rPr>
        <w:t>.</w:t>
      </w:r>
      <w:r>
        <w:rPr>
          <w:rFonts w:ascii="Times New Roman" w:hAnsi="Times New Roman" w:eastAsia="黑体"/>
          <w:kern w:val="28"/>
          <w:sz w:val="32"/>
          <w:szCs w:val="32"/>
        </w:rPr>
        <w:t xml:space="preserve">总则 </w:t>
      </w:r>
    </w:p>
    <w:p w14:paraId="45A6B6D1">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1.1 项目概况</w:t>
      </w:r>
    </w:p>
    <w:p w14:paraId="1986B7F8">
      <w:pPr>
        <w:spacing w:line="360" w:lineRule="auto"/>
        <w:ind w:firstLine="420" w:firstLineChars="200"/>
      </w:pPr>
      <w:r>
        <w:rPr>
          <w:rFonts w:hint="eastAsia"/>
        </w:rPr>
        <w:t>1.1.1 项目名称：详见招标公告。</w:t>
      </w:r>
    </w:p>
    <w:p w14:paraId="23FD6450">
      <w:pPr>
        <w:spacing w:line="360" w:lineRule="auto"/>
        <w:ind w:firstLine="420" w:firstLineChars="200"/>
      </w:pPr>
      <w:r>
        <w:rPr>
          <w:rFonts w:hint="eastAsia"/>
        </w:rPr>
        <w:t>1.1.2 项目地点：详见招标公告。</w:t>
      </w:r>
    </w:p>
    <w:p w14:paraId="691F1709">
      <w:pPr>
        <w:spacing w:line="360" w:lineRule="auto"/>
        <w:ind w:firstLine="420" w:firstLineChars="200"/>
      </w:pPr>
      <w:r>
        <w:rPr>
          <w:rFonts w:hint="eastAsia"/>
        </w:rPr>
        <w:t>1.1.3 项目规模：详见招标公告。</w:t>
      </w:r>
    </w:p>
    <w:p w14:paraId="233456E4">
      <w:pPr>
        <w:spacing w:line="360" w:lineRule="auto"/>
        <w:ind w:firstLine="420" w:firstLineChars="200"/>
      </w:pPr>
      <w:r>
        <w:rPr>
          <w:rFonts w:hint="eastAsia"/>
        </w:rPr>
        <w:t>1.1.4 招标范围：详见招标公告。</w:t>
      </w:r>
    </w:p>
    <w:p w14:paraId="314EF1DB">
      <w:pPr>
        <w:spacing w:line="360" w:lineRule="auto"/>
        <w:ind w:firstLine="420" w:firstLineChars="200"/>
      </w:pPr>
      <w:r>
        <w:rPr>
          <w:rFonts w:hint="eastAsia"/>
        </w:rPr>
        <w:t>1.1.5 工期要求：详见招标公告。</w:t>
      </w:r>
    </w:p>
    <w:p w14:paraId="6FFA6ED7">
      <w:pPr>
        <w:spacing w:line="360" w:lineRule="auto"/>
        <w:ind w:firstLine="420" w:firstLineChars="200"/>
      </w:pPr>
      <w:r>
        <w:rPr>
          <w:rFonts w:hint="eastAsia"/>
        </w:rPr>
        <w:t>1.1.6 质量标准：详见招标公告。</w:t>
      </w:r>
    </w:p>
    <w:p w14:paraId="6C87AB4E">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1.2 资金来源和落实情况</w:t>
      </w:r>
    </w:p>
    <w:p w14:paraId="46C6146F">
      <w:pPr>
        <w:spacing w:line="360" w:lineRule="auto"/>
        <w:ind w:firstLine="420" w:firstLineChars="200"/>
      </w:pPr>
      <w:r>
        <w:rPr>
          <w:rFonts w:hint="eastAsia"/>
        </w:rPr>
        <w:t>1.2.1 资金来源及比例：自筹100%。</w:t>
      </w:r>
    </w:p>
    <w:p w14:paraId="3E46A8F6">
      <w:pPr>
        <w:spacing w:line="360" w:lineRule="auto"/>
        <w:ind w:firstLine="420" w:firstLineChars="200"/>
      </w:pPr>
      <w:r>
        <w:rPr>
          <w:rFonts w:hint="eastAsia"/>
        </w:rPr>
        <w:t>1.2.2 资金落实情况：已落实。</w:t>
      </w:r>
    </w:p>
    <w:p w14:paraId="2689297B">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1.3 投标人资格要求</w:t>
      </w:r>
    </w:p>
    <w:p w14:paraId="7D72B8D2">
      <w:pPr>
        <w:spacing w:line="360" w:lineRule="auto"/>
        <w:ind w:firstLine="420" w:firstLineChars="200"/>
      </w:pPr>
      <w:r>
        <w:rPr>
          <w:rFonts w:hint="eastAsia"/>
        </w:rPr>
        <w:t>1.3.1 投标人资质类别和等级：详见招标公告。</w:t>
      </w:r>
    </w:p>
    <w:p w14:paraId="6D2DFF78">
      <w:pPr>
        <w:spacing w:line="360" w:lineRule="auto"/>
        <w:ind w:firstLine="420" w:firstLineChars="200"/>
      </w:pPr>
      <w:r>
        <w:rPr>
          <w:rFonts w:hint="eastAsia"/>
        </w:rPr>
        <w:t>1.3.2 项目负责人的资格要求：详见招标公告。</w:t>
      </w:r>
    </w:p>
    <w:p w14:paraId="4858E32E">
      <w:pPr>
        <w:spacing w:line="360" w:lineRule="auto"/>
        <w:ind w:firstLine="420" w:firstLineChars="200"/>
      </w:pPr>
      <w:r>
        <w:rPr>
          <w:rFonts w:hint="eastAsia"/>
        </w:rPr>
        <w:t>1.3.3 项目组成员要求：详见招标公告。</w:t>
      </w:r>
    </w:p>
    <w:p w14:paraId="19829AC4">
      <w:pPr>
        <w:spacing w:line="360" w:lineRule="auto"/>
        <w:ind w:firstLine="420" w:firstLineChars="200"/>
      </w:pPr>
      <w:r>
        <w:rPr>
          <w:rFonts w:hint="eastAsia"/>
        </w:rPr>
        <w:t>1.3.4 业绩要求：详见招标公告。</w:t>
      </w:r>
    </w:p>
    <w:p w14:paraId="3FE6E882">
      <w:pPr>
        <w:spacing w:line="360" w:lineRule="auto"/>
        <w:ind w:firstLine="420" w:firstLineChars="200"/>
      </w:pPr>
      <w:r>
        <w:rPr>
          <w:rFonts w:hint="eastAsia"/>
        </w:rPr>
        <w:t>1.3.5 财务要求：详见招标公告。</w:t>
      </w:r>
    </w:p>
    <w:p w14:paraId="26BA765A">
      <w:pPr>
        <w:spacing w:line="360" w:lineRule="auto"/>
        <w:ind w:firstLine="420" w:firstLineChars="200"/>
      </w:pPr>
      <w:r>
        <w:rPr>
          <w:rFonts w:hint="eastAsia"/>
        </w:rPr>
        <w:t>1.3.6 信誉要求：详见招标公告。</w:t>
      </w:r>
    </w:p>
    <w:p w14:paraId="1547D182">
      <w:pPr>
        <w:spacing w:line="360" w:lineRule="auto"/>
        <w:ind w:firstLine="420" w:firstLineChars="200"/>
      </w:pPr>
      <w:r>
        <w:rPr>
          <w:rFonts w:hint="eastAsia"/>
        </w:rPr>
        <w:t>1.3.7 其他要求：详见招标公告。</w:t>
      </w:r>
    </w:p>
    <w:p w14:paraId="2CA995CF">
      <w:pPr>
        <w:spacing w:line="360" w:lineRule="auto"/>
        <w:ind w:firstLine="420" w:firstLineChars="200"/>
      </w:pPr>
      <w:r>
        <w:rPr>
          <w:rFonts w:hint="eastAsia"/>
        </w:rPr>
        <w:t>1.3.8 联合体投标：详见招标公告。如为联合体投标的，应当满足下列条件：</w:t>
      </w:r>
    </w:p>
    <w:p w14:paraId="13E8AA72">
      <w:pPr>
        <w:spacing w:line="360" w:lineRule="auto"/>
        <w:ind w:firstLine="420" w:firstLineChars="200"/>
      </w:pPr>
      <w:r>
        <w:rPr>
          <w:rFonts w:hint="eastAsia"/>
        </w:rPr>
        <w:t>1.3.8.1 项目负责人必须为牵头单位正式职工；</w:t>
      </w:r>
    </w:p>
    <w:p w14:paraId="74F331C8">
      <w:pPr>
        <w:spacing w:line="360" w:lineRule="auto"/>
        <w:ind w:firstLine="420" w:firstLineChars="200"/>
      </w:pPr>
      <w:r>
        <w:rPr>
          <w:rFonts w:hint="eastAsia"/>
        </w:rPr>
        <w:t>1.3.8.2 联合体各方应按招标文件提供的格式签订联合体协议书，明确联合体牵头人和各方权利义务；</w:t>
      </w:r>
    </w:p>
    <w:p w14:paraId="7338F6EC">
      <w:pPr>
        <w:spacing w:line="360" w:lineRule="auto"/>
        <w:ind w:firstLine="420" w:firstLineChars="200"/>
      </w:pPr>
      <w:r>
        <w:rPr>
          <w:rFonts w:hint="eastAsia"/>
        </w:rPr>
        <w:t xml:space="preserve">1.3.8.3 联合体各成员单位应当具备与联合体协议中约定的分工相适应的资质和能力； </w:t>
      </w:r>
    </w:p>
    <w:p w14:paraId="590287AF">
      <w:pPr>
        <w:spacing w:line="360" w:lineRule="auto"/>
        <w:ind w:firstLine="420" w:firstLineChars="200"/>
      </w:pPr>
      <w:r>
        <w:rPr>
          <w:rFonts w:hint="eastAsia"/>
        </w:rPr>
        <w:t>1.3.8.4 联合体各方不得再以自己名义单独或参加其他联合体在同一标段中投标；</w:t>
      </w:r>
    </w:p>
    <w:p w14:paraId="44C87E92">
      <w:pPr>
        <w:spacing w:line="360" w:lineRule="auto"/>
        <w:ind w:firstLine="420" w:firstLineChars="200"/>
      </w:pPr>
      <w:r>
        <w:rPr>
          <w:rFonts w:hint="eastAsia"/>
        </w:rPr>
        <w:t>1.3.8.5 联合体各方必须指定牵头人，授权其代表所有联合体成员负责投标和合同实施阶段的主办、协调工作，并应当向招标人提交由所有联合体成员法定代表人签署的授权书；</w:t>
      </w:r>
    </w:p>
    <w:p w14:paraId="7365FBA5">
      <w:pPr>
        <w:spacing w:line="360" w:lineRule="auto"/>
        <w:ind w:firstLine="420" w:firstLineChars="200"/>
      </w:pPr>
      <w:r>
        <w:rPr>
          <w:rFonts w:hint="eastAsia"/>
        </w:rPr>
        <w:t>1.3.8.6 招标人要求投标人提交投标保证担保的，应当以联合体各方或者联合体中牵头人的名义提交投标保证担保。以联合体中牵头人名义提交的投标保证担保，对联合体各成员具有约束力。</w:t>
      </w:r>
    </w:p>
    <w:p w14:paraId="5DE3FAB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1.4 费用承担</w:t>
      </w:r>
    </w:p>
    <w:p w14:paraId="085017F9">
      <w:pPr>
        <w:spacing w:line="360" w:lineRule="auto"/>
        <w:ind w:firstLine="420" w:firstLineChars="200"/>
      </w:pPr>
      <w:r>
        <w:rPr>
          <w:rFonts w:hint="eastAsia"/>
        </w:rPr>
        <w:t>投标人准备和参加投标活动发生的费用自理。</w:t>
      </w:r>
    </w:p>
    <w:p w14:paraId="7109C557">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1.5 保密</w:t>
      </w:r>
    </w:p>
    <w:p w14:paraId="64A98D63">
      <w:pPr>
        <w:spacing w:line="360" w:lineRule="auto"/>
        <w:ind w:firstLine="420" w:firstLineChars="200"/>
      </w:pPr>
      <w:r>
        <w:rPr>
          <w:rFonts w:hint="eastAsia"/>
        </w:rPr>
        <w:t>参与招标投标活动的各方应对招标文件和投标文件中的商业和技术等秘密保密，否则应承担相应的法律责任。</w:t>
      </w:r>
    </w:p>
    <w:p w14:paraId="32497EB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1.6 语言文字</w:t>
      </w:r>
    </w:p>
    <w:p w14:paraId="2ADE6283">
      <w:pPr>
        <w:spacing w:line="360" w:lineRule="auto"/>
        <w:ind w:firstLine="420" w:firstLineChars="200"/>
      </w:pPr>
      <w:r>
        <w:rPr>
          <w:rFonts w:hint="eastAsia"/>
        </w:rPr>
        <w:t>招标投标文件使用的语言文字为中文。专用术语使用外文的，应附有中文注释。</w:t>
      </w:r>
    </w:p>
    <w:p w14:paraId="2722F56B">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1.7 计量单位</w:t>
      </w:r>
    </w:p>
    <w:p w14:paraId="59DAC44C">
      <w:pPr>
        <w:spacing w:line="360" w:lineRule="auto"/>
        <w:ind w:firstLine="420" w:firstLineChars="200"/>
      </w:pPr>
      <w:r>
        <w:rPr>
          <w:rFonts w:hint="eastAsia"/>
        </w:rPr>
        <w:t>所有计量均采用中华人民共和国法定计量单位。</w:t>
      </w:r>
    </w:p>
    <w:p w14:paraId="4BD61761">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1.8 勘察现场</w:t>
      </w:r>
    </w:p>
    <w:p w14:paraId="5B6BF8D3">
      <w:pPr>
        <w:spacing w:line="360" w:lineRule="auto"/>
        <w:ind w:firstLine="420" w:firstLineChars="200"/>
      </w:pPr>
      <w:r>
        <w:rPr>
          <w:rFonts w:hint="eastAsia"/>
        </w:rPr>
        <w:t>1.8.1 投标人根据需要自行踏勘项目现场。</w:t>
      </w:r>
    </w:p>
    <w:p w14:paraId="1F59506B">
      <w:pPr>
        <w:spacing w:line="360" w:lineRule="auto"/>
        <w:ind w:firstLine="420" w:firstLineChars="200"/>
      </w:pPr>
      <w:r>
        <w:rPr>
          <w:rFonts w:hint="eastAsia"/>
        </w:rPr>
        <w:t xml:space="preserve">1.8.2 投标人踏勘现场发生的费用自理。 </w:t>
      </w:r>
    </w:p>
    <w:p w14:paraId="442589D2">
      <w:pPr>
        <w:spacing w:line="360" w:lineRule="auto"/>
        <w:ind w:firstLine="420" w:firstLineChars="200"/>
      </w:pPr>
      <w:r>
        <w:rPr>
          <w:rFonts w:hint="eastAsia"/>
        </w:rPr>
        <w:t>1.8.3 投标人自行负责在踏勘现场中所发生的人员伤亡和财产损失。</w:t>
      </w:r>
    </w:p>
    <w:p w14:paraId="310B9788">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1.9 分包</w:t>
      </w:r>
    </w:p>
    <w:p w14:paraId="41B9F437">
      <w:pPr>
        <w:spacing w:line="360" w:lineRule="auto"/>
        <w:ind w:firstLine="420" w:firstLineChars="200"/>
      </w:pPr>
      <w:r>
        <w:rPr>
          <w:rFonts w:hint="eastAsia"/>
        </w:rPr>
        <w:t>1.9.1 本项目不得转包或违法分包，投标人中标以后应自行以自身力量完成本招投标项目的关键性工作。</w:t>
      </w:r>
    </w:p>
    <w:p w14:paraId="55105DE0">
      <w:pPr>
        <w:spacing w:line="360" w:lineRule="auto"/>
        <w:ind w:firstLine="420" w:firstLineChars="200"/>
      </w:pPr>
      <w:r>
        <w:rPr>
          <w:rFonts w:hint="eastAsia"/>
        </w:rPr>
        <w:t>1.9.2 投标人拟在中标后将中标项目的部分非关键性工作进行分包的，应符合招标文件规定的分包内容、分包金额和资质要求等限制性条件且经招标人确认。</w:t>
      </w:r>
    </w:p>
    <w:p w14:paraId="2E469CD3">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1.10 知识产权</w:t>
      </w:r>
    </w:p>
    <w:p w14:paraId="779B9753">
      <w:pPr>
        <w:spacing w:line="360" w:lineRule="auto"/>
        <w:ind w:firstLine="420" w:firstLineChars="200"/>
      </w:pPr>
      <w:r>
        <w:rPr>
          <w:rFonts w:hint="eastAsi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9A4DACB">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1.11 同义词语</w:t>
      </w:r>
    </w:p>
    <w:p w14:paraId="05A73DEA">
      <w:pPr>
        <w:spacing w:line="360" w:lineRule="auto"/>
        <w:ind w:firstLine="420" w:firstLineChars="200"/>
      </w:pPr>
      <w:r>
        <w:rPr>
          <w:rFonts w:hint="eastAsia"/>
        </w:rPr>
        <w:t>构成招标文件组成部分的“合同条款”、“发包人要求（项目需求）”等章节中出现的措辞“发包人”和“承包人”，在招标投标阶段应当分别按“招标人”和“投标人”进行理解。</w:t>
      </w:r>
    </w:p>
    <w:p w14:paraId="2C36D6FD">
      <w:pPr>
        <w:pStyle w:val="6"/>
        <w:keepNext w:val="0"/>
        <w:keepLines w:val="0"/>
        <w:widowControl/>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2. 招标文件</w:t>
      </w:r>
    </w:p>
    <w:p w14:paraId="0D9AC0E7">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2.1 招标文件的组成</w:t>
      </w:r>
    </w:p>
    <w:p w14:paraId="723C2B1E">
      <w:pPr>
        <w:spacing w:line="360" w:lineRule="auto"/>
        <w:ind w:firstLine="420" w:firstLineChars="200"/>
      </w:pPr>
      <w:r>
        <w:rPr>
          <w:rFonts w:hint="eastAsia"/>
        </w:rPr>
        <w:t>（1）招标公告；</w:t>
      </w:r>
    </w:p>
    <w:p w14:paraId="7DA81D82">
      <w:pPr>
        <w:spacing w:line="360" w:lineRule="auto"/>
        <w:ind w:firstLine="420" w:firstLineChars="200"/>
      </w:pPr>
      <w:r>
        <w:rPr>
          <w:rFonts w:hint="eastAsia"/>
        </w:rPr>
        <w:t>（2）投标人须知；</w:t>
      </w:r>
    </w:p>
    <w:p w14:paraId="404B7FE2">
      <w:pPr>
        <w:spacing w:line="360" w:lineRule="auto"/>
        <w:ind w:firstLine="420" w:firstLineChars="200"/>
      </w:pPr>
      <w:r>
        <w:rPr>
          <w:rFonts w:hint="eastAsia"/>
        </w:rPr>
        <w:t>（3）评标办法；</w:t>
      </w:r>
    </w:p>
    <w:p w14:paraId="28D74450">
      <w:pPr>
        <w:spacing w:line="360" w:lineRule="auto"/>
        <w:ind w:firstLine="420" w:firstLineChars="200"/>
      </w:pPr>
      <w:r>
        <w:rPr>
          <w:rFonts w:hint="eastAsia"/>
        </w:rPr>
        <w:t>（4）项目需求；</w:t>
      </w:r>
    </w:p>
    <w:p w14:paraId="36D7613A">
      <w:pPr>
        <w:spacing w:line="360" w:lineRule="auto"/>
        <w:ind w:firstLine="420" w:firstLineChars="200"/>
      </w:pPr>
      <w:r>
        <w:rPr>
          <w:rFonts w:hint="eastAsia"/>
        </w:rPr>
        <w:t>（5）合同条款及格式；</w:t>
      </w:r>
    </w:p>
    <w:p w14:paraId="0A32A94C">
      <w:pPr>
        <w:spacing w:line="360" w:lineRule="auto"/>
        <w:ind w:firstLine="420" w:firstLineChars="200"/>
      </w:pPr>
      <w:r>
        <w:rPr>
          <w:rFonts w:hint="eastAsia"/>
        </w:rPr>
        <w:t>（6）图纸（如有）；</w:t>
      </w:r>
    </w:p>
    <w:p w14:paraId="144AE77C">
      <w:pPr>
        <w:spacing w:line="360" w:lineRule="auto"/>
        <w:ind w:firstLine="420" w:firstLineChars="200"/>
      </w:pPr>
      <w:r>
        <w:rPr>
          <w:rFonts w:hint="eastAsia"/>
        </w:rPr>
        <w:t>（7）投标文件格式；</w:t>
      </w:r>
    </w:p>
    <w:p w14:paraId="49ECA85E">
      <w:pPr>
        <w:spacing w:line="360" w:lineRule="auto"/>
        <w:ind w:firstLine="420" w:firstLineChars="200"/>
      </w:pPr>
      <w:r>
        <w:rPr>
          <w:rFonts w:hint="eastAsia"/>
        </w:rPr>
        <w:t>（8）其他材料。</w:t>
      </w:r>
    </w:p>
    <w:p w14:paraId="5B49755A">
      <w:pPr>
        <w:spacing w:line="360" w:lineRule="auto"/>
        <w:ind w:firstLine="420" w:firstLineChars="200"/>
      </w:pPr>
      <w:r>
        <w:rPr>
          <w:rFonts w:hint="eastAsia"/>
        </w:rPr>
        <w:t>根据本章第2.2款和第2.3款对招标文件所做的澄清、修改（招标答疑、补遗文件）、公布最高投标限价，构成招标文件的组成部分。投标人在投标截止时间前，应通过“电子交易平台”随时查看有关该项目招标文件的澄清、招标文件的修改（招标答疑、补遗文件）、最高投标限价公示等内容。查询如有遗漏，其风险应由投标人自行承担。</w:t>
      </w:r>
    </w:p>
    <w:p w14:paraId="5DA6F73B">
      <w:pPr>
        <w:spacing w:line="360" w:lineRule="auto"/>
        <w:ind w:firstLine="420" w:firstLineChars="200"/>
      </w:pPr>
      <w:r>
        <w:rPr>
          <w:rFonts w:hint="eastAsia"/>
        </w:rPr>
        <w:t>投标人从“电子交易平台”下载招标文件后，应仔细阅读招标文件及附件的全部内容，招标文件与附件具有同等效力。投标人同时应认真审阅招标文件中所有的事项、条款、格式和标准要求等，如果投标人的投标文件没有按照招标文件要求提交全部资料或者投标文件没有对招标文件作出实质性响应，其风险应由投标人自行承担，并且根据有关条款规定，其投标有可能被拒绝。</w:t>
      </w:r>
    </w:p>
    <w:p w14:paraId="77A29760">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2.2 招标文件的澄清、修改</w:t>
      </w:r>
    </w:p>
    <w:p w14:paraId="1D3FFD82">
      <w:pPr>
        <w:spacing w:line="360" w:lineRule="auto"/>
        <w:ind w:firstLine="420" w:firstLineChars="200"/>
      </w:pPr>
      <w:r>
        <w:rPr>
          <w:rFonts w:hint="eastAsia"/>
        </w:rPr>
        <w:t>2.2.1 投标人从“电子交易平台”下载招标文件后，应仔细阅读招标文件的全部内容。如有疑问，应在投标截止时间前</w:t>
      </w:r>
      <w:r>
        <w:rPr>
          <w:rFonts w:hint="eastAsia"/>
          <w:b/>
          <w:bCs/>
        </w:rPr>
        <w:t xml:space="preserve"> 2 </w:t>
      </w:r>
      <w:r>
        <w:rPr>
          <w:rFonts w:hint="eastAsia"/>
        </w:rPr>
        <w:t>日向招标人提出，以便澄清。</w:t>
      </w:r>
    </w:p>
    <w:p w14:paraId="0B2096FB">
      <w:pPr>
        <w:spacing w:line="360" w:lineRule="auto"/>
        <w:ind w:firstLine="420" w:firstLineChars="200"/>
      </w:pPr>
      <w:r>
        <w:rPr>
          <w:rFonts w:hint="eastAsia"/>
        </w:rPr>
        <w:t>2.2.2 招标人不集中组织答疑，实行网上提疑和答疑。投标人若对招标文件有疑问，需要招标人予以澄清，应登录“电子交易平台”以不署名的形式提出。</w:t>
      </w:r>
    </w:p>
    <w:p w14:paraId="25AE79DB">
      <w:pPr>
        <w:spacing w:line="360" w:lineRule="auto"/>
        <w:ind w:firstLine="420" w:firstLineChars="200"/>
      </w:pPr>
      <w:r>
        <w:rPr>
          <w:rFonts w:hint="eastAsia"/>
        </w:rPr>
        <w:t>2.2.3 招标人可以对已发出的招标文件进行必要的澄清或者修改。澄清或者修改的内容可能影响投标文件编制的，招标人应当在投标文件递交截止时间至少</w:t>
      </w:r>
      <w:r>
        <w:rPr>
          <w:rFonts w:hint="eastAsia"/>
          <w:b/>
          <w:bCs/>
        </w:rPr>
        <w:t xml:space="preserve"> 2 </w:t>
      </w:r>
      <w:r>
        <w:rPr>
          <w:rFonts w:hint="eastAsia"/>
        </w:rPr>
        <w:t>日前，在“电子交易平台”发布；不足</w:t>
      </w:r>
      <w:r>
        <w:rPr>
          <w:rFonts w:hint="eastAsia"/>
          <w:b/>
          <w:bCs/>
        </w:rPr>
        <w:t xml:space="preserve"> 2 </w:t>
      </w:r>
      <w:r>
        <w:rPr>
          <w:rFonts w:hint="eastAsia"/>
        </w:rPr>
        <w:t>日的，招标人应当顺延提交投标文件的截止时间。</w:t>
      </w:r>
    </w:p>
    <w:p w14:paraId="451E1DA7">
      <w:pPr>
        <w:spacing w:line="360" w:lineRule="auto"/>
        <w:ind w:firstLine="420" w:firstLineChars="200"/>
      </w:pPr>
      <w:r>
        <w:rPr>
          <w:rFonts w:hint="eastAsia"/>
        </w:rPr>
        <w:t>2.2.4 投标人应在截标时间前随时查看“电子交易平台”中有关该项目招标文件的答疑内容。否则，由此引起的投标损失自负。</w:t>
      </w:r>
    </w:p>
    <w:p w14:paraId="5AE787BB">
      <w:pPr>
        <w:spacing w:line="360" w:lineRule="auto"/>
        <w:ind w:firstLine="420" w:firstLineChars="200"/>
      </w:pPr>
      <w:r>
        <w:rPr>
          <w:rFonts w:hint="eastAsia"/>
        </w:rPr>
        <w:t>2.2.5 招标文件、招标文件的答疑内容均以网上发布的为准。</w:t>
      </w:r>
    </w:p>
    <w:p w14:paraId="75DC186E">
      <w:pPr>
        <w:spacing w:line="360" w:lineRule="auto"/>
        <w:ind w:firstLine="420" w:firstLineChars="200"/>
      </w:pPr>
      <w:r>
        <w:rPr>
          <w:rFonts w:hint="eastAsia"/>
        </w:rPr>
        <w:t>2.2.6 当招标文件、招标文件的答疑内容相互矛盾时，若无其他特别说明一般均以后发出的文件为准。</w:t>
      </w:r>
    </w:p>
    <w:p w14:paraId="37D8094B">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2.3 最高投标限价的公布</w:t>
      </w:r>
    </w:p>
    <w:p w14:paraId="7BB48BF9">
      <w:pPr>
        <w:spacing w:line="360" w:lineRule="auto"/>
        <w:ind w:firstLine="420" w:firstLineChars="200"/>
      </w:pPr>
      <w:r>
        <w:rPr>
          <w:rFonts w:hint="eastAsia"/>
        </w:rPr>
        <w:t>2.3.1 本项目设定最高投标限价</w:t>
      </w:r>
      <w:r>
        <w:rPr>
          <w:rFonts w:hint="eastAsia"/>
          <w:color w:val="000000" w:themeColor="text1"/>
          <w14:textFill>
            <w14:solidFill>
              <w14:schemeClr w14:val="tx1"/>
            </w14:solidFill>
          </w14:textFill>
        </w:rPr>
        <w:t>为</w:t>
      </w:r>
      <w:r>
        <w:rPr>
          <w:rFonts w:hint="eastAsia"/>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u w:val="single"/>
          <w:lang w:val="en-US" w:eastAsia="zh-CN"/>
          <w14:textFill>
            <w14:solidFill>
              <w14:schemeClr w14:val="tx1"/>
            </w14:solidFill>
          </w14:textFill>
        </w:rPr>
        <w:t>11.602435</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万元。</w:t>
      </w:r>
    </w:p>
    <w:p w14:paraId="5792603F">
      <w:pPr>
        <w:spacing w:line="360" w:lineRule="auto"/>
        <w:ind w:firstLine="420" w:firstLineChars="200"/>
      </w:pPr>
      <w:r>
        <w:rPr>
          <w:rFonts w:hint="eastAsia"/>
        </w:rPr>
        <w:t>2.3.2 招标人将拒绝高于最高投标限价的投标报价。</w:t>
      </w:r>
    </w:p>
    <w:p w14:paraId="193C8F49">
      <w:pPr>
        <w:pStyle w:val="6"/>
        <w:keepNext w:val="0"/>
        <w:keepLines w:val="0"/>
        <w:widowControl/>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3</w:t>
      </w:r>
      <w:r>
        <w:rPr>
          <w:rFonts w:hint="eastAsia" w:ascii="Times New Roman" w:hAnsi="Times New Roman" w:eastAsia="黑体"/>
          <w:kern w:val="28"/>
          <w:sz w:val="32"/>
          <w:szCs w:val="32"/>
        </w:rPr>
        <w:t>.</w:t>
      </w:r>
      <w:r>
        <w:rPr>
          <w:rFonts w:ascii="Times New Roman" w:hAnsi="Times New Roman" w:eastAsia="黑体"/>
          <w:kern w:val="28"/>
          <w:sz w:val="32"/>
          <w:szCs w:val="32"/>
        </w:rPr>
        <w:t xml:space="preserve"> 投标文件</w:t>
      </w:r>
    </w:p>
    <w:p w14:paraId="4B680CF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3.1 投标文件的组成</w:t>
      </w:r>
    </w:p>
    <w:p w14:paraId="49EC26F4">
      <w:pPr>
        <w:spacing w:line="360" w:lineRule="auto"/>
        <w:ind w:firstLine="420" w:firstLineChars="200"/>
      </w:pPr>
      <w:r>
        <w:rPr>
          <w:rFonts w:hint="eastAsia"/>
        </w:rPr>
        <w:t>（一）投标函；</w:t>
      </w:r>
    </w:p>
    <w:p w14:paraId="54351EA1">
      <w:pPr>
        <w:spacing w:line="360" w:lineRule="auto"/>
        <w:ind w:firstLine="420" w:firstLineChars="200"/>
      </w:pPr>
      <w:r>
        <w:rPr>
          <w:rFonts w:hint="eastAsia"/>
        </w:rPr>
        <w:t>（二）投标报价明细表（如有）；</w:t>
      </w:r>
    </w:p>
    <w:p w14:paraId="58EEB8C4">
      <w:pPr>
        <w:spacing w:line="360" w:lineRule="auto"/>
        <w:ind w:firstLine="420" w:firstLineChars="200"/>
      </w:pPr>
      <w:r>
        <w:rPr>
          <w:rFonts w:hint="eastAsia"/>
        </w:rPr>
        <w:t>（三）投标保证金缴纳证明材料；</w:t>
      </w:r>
    </w:p>
    <w:p w14:paraId="6F3908CF">
      <w:pPr>
        <w:spacing w:line="360" w:lineRule="auto"/>
        <w:ind w:firstLine="420" w:firstLineChars="200"/>
      </w:pPr>
      <w:r>
        <w:rPr>
          <w:rFonts w:hint="eastAsia"/>
        </w:rPr>
        <w:t>（四）联合体协议书（如有）；</w:t>
      </w:r>
    </w:p>
    <w:p w14:paraId="3E86ACB4">
      <w:pPr>
        <w:spacing w:line="360" w:lineRule="auto"/>
        <w:ind w:firstLine="420" w:firstLineChars="200"/>
      </w:pPr>
      <w:r>
        <w:rPr>
          <w:rFonts w:hint="eastAsia"/>
        </w:rPr>
        <w:t>（五）法定代表人身份证明书；</w:t>
      </w:r>
    </w:p>
    <w:p w14:paraId="0EB69E77">
      <w:pPr>
        <w:spacing w:line="360" w:lineRule="auto"/>
        <w:ind w:firstLine="420" w:firstLineChars="200"/>
      </w:pPr>
      <w:r>
        <w:rPr>
          <w:rFonts w:hint="eastAsia"/>
        </w:rPr>
        <w:t>（六）授权委托书（如有）；</w:t>
      </w:r>
    </w:p>
    <w:p w14:paraId="50FCDC63">
      <w:pPr>
        <w:spacing w:line="360" w:lineRule="auto"/>
        <w:ind w:firstLine="420" w:firstLineChars="200"/>
        <w:rPr>
          <w:lang w:val="zh-CN"/>
        </w:rPr>
      </w:pPr>
      <w:r>
        <w:rPr>
          <w:rFonts w:hint="eastAsia"/>
        </w:rPr>
        <w:t>（七）</w:t>
      </w:r>
      <w:r>
        <w:rPr>
          <w:rFonts w:hint="eastAsia"/>
          <w:lang w:val="zh-CN"/>
        </w:rPr>
        <w:t>企业营业执照；</w:t>
      </w:r>
    </w:p>
    <w:p w14:paraId="765F383A">
      <w:pPr>
        <w:spacing w:line="360" w:lineRule="auto"/>
        <w:ind w:firstLine="420" w:firstLineChars="200"/>
      </w:pPr>
      <w:r>
        <w:rPr>
          <w:rFonts w:hint="eastAsia"/>
          <w:lang w:val="zh-CN"/>
        </w:rPr>
        <w:t>（八）企业资质证书（如有）</w:t>
      </w:r>
      <w:r>
        <w:rPr>
          <w:rFonts w:hint="eastAsia"/>
        </w:rPr>
        <w:t>；</w:t>
      </w:r>
    </w:p>
    <w:p w14:paraId="3363D709">
      <w:pPr>
        <w:spacing w:line="360" w:lineRule="auto"/>
        <w:ind w:firstLine="420" w:firstLineChars="200"/>
      </w:pPr>
      <w:r>
        <w:rPr>
          <w:rFonts w:hint="eastAsia"/>
        </w:rPr>
        <w:t>（九）项目负责人身份证；</w:t>
      </w:r>
    </w:p>
    <w:p w14:paraId="7FBBBD96">
      <w:pPr>
        <w:spacing w:line="360" w:lineRule="auto"/>
        <w:ind w:firstLine="420" w:firstLineChars="200"/>
        <w:rPr>
          <w:lang w:val="zh-CN"/>
        </w:rPr>
      </w:pPr>
      <w:r>
        <w:rPr>
          <w:rFonts w:hint="eastAsia"/>
        </w:rPr>
        <w:t>（十）资格审查资料和计分要求的业绩材料（如有）</w:t>
      </w:r>
      <w:r>
        <w:rPr>
          <w:rFonts w:hint="eastAsia"/>
          <w:lang w:val="zh-CN"/>
        </w:rPr>
        <w:t>；</w:t>
      </w:r>
    </w:p>
    <w:p w14:paraId="4995565D">
      <w:pPr>
        <w:spacing w:line="360" w:lineRule="auto"/>
        <w:ind w:firstLine="420" w:firstLineChars="200"/>
      </w:pPr>
      <w:r>
        <w:rPr>
          <w:rFonts w:hint="eastAsia"/>
        </w:rPr>
        <w:t>（十一）</w:t>
      </w:r>
      <w:r>
        <w:rPr>
          <w:rFonts w:hint="eastAsia"/>
          <w:lang w:val="zh-CN"/>
        </w:rPr>
        <w:t>根据招标文件评标办法要求以及投标人认为需要提供的其他资料。</w:t>
      </w:r>
    </w:p>
    <w:p w14:paraId="7A49B346">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3.2 投标报价</w:t>
      </w:r>
    </w:p>
    <w:p w14:paraId="30D7F93A">
      <w:pPr>
        <w:spacing w:line="360" w:lineRule="auto"/>
        <w:ind w:firstLine="420" w:firstLineChars="200"/>
      </w:pPr>
      <w:r>
        <w:rPr>
          <w:rFonts w:hint="eastAsia"/>
        </w:rPr>
        <w:t>3.2.1 投标人应根据招标人提供的货物清单计算本项目的含税全费用综合单价和合价。货物清单中的各个子目需计算并填写全费用综合单价。投标人对招标人提供的货物清单如有异议（包括对货物清单中漏项的疑问），应在收到招标文件后按投标人须知中规定向招标人提出。对项目实施过程中发生的所有措施费及可预见费用由投标单位自行考虑，计入总价。</w:t>
      </w:r>
    </w:p>
    <w:p w14:paraId="50D2C658">
      <w:pPr>
        <w:spacing w:line="360" w:lineRule="auto"/>
        <w:ind w:firstLine="420" w:firstLineChars="200"/>
      </w:pPr>
      <w:r>
        <w:rPr>
          <w:rFonts w:hint="eastAsia"/>
        </w:rPr>
        <w:t>3.2.2 本项目设定最高投标限价（即最高限价）。各投标人应在最高投标限价以下进行投标报价，高于最高投标限价的投标报价，招标人将不予接受，视为无效标书。</w:t>
      </w:r>
    </w:p>
    <w:p w14:paraId="63E69460">
      <w:pPr>
        <w:spacing w:line="360" w:lineRule="auto"/>
        <w:ind w:firstLine="420" w:firstLineChars="200"/>
      </w:pPr>
      <w:r>
        <w:rPr>
          <w:rFonts w:hint="eastAsia"/>
        </w:rPr>
        <w:t>3.2.3 投标人应按招标人提供的货物清单的要求填写价格清单。投标人不得改变招标人提供的货物清单计价格式。如果投标人认为清单内容有误或遗漏，只能通过答疑的方式由招标人统一修改更正。</w:t>
      </w:r>
    </w:p>
    <w:p w14:paraId="74CF4703">
      <w:pPr>
        <w:spacing w:line="360" w:lineRule="auto"/>
        <w:ind w:firstLine="420" w:firstLineChars="200"/>
      </w:pPr>
      <w:r>
        <w:rPr>
          <w:rFonts w:hint="eastAsia"/>
        </w:rPr>
        <w:t>3.2.4 本项目采用全费用综合单价，供货清单中的全费用综合单价、合价、总价须包括货物价格、直接和间接成本、材料损耗费、劳务费、竣工面的清洁费、垃圾清运费、安装费、吊装费、包装费、采购费（含货物本身及除货物清单单列之外的所有配件、主材和附材等）、生产费、机械费、规费、利润、管理费、运杂费（含运输费）、装卸费、保险费、保修费、配合费、调试费及售后服务费、税金、风险费、不可预见费及其他一切相关费用。各类风险和政策性调整等风险已包括在投标报价中，最终结算时除合同约定调整外一律不予调整。除招标文件和合同约定外，中标后综合单价不可调整。</w:t>
      </w:r>
    </w:p>
    <w:p w14:paraId="40B97062">
      <w:pPr>
        <w:spacing w:line="360" w:lineRule="auto"/>
        <w:ind w:firstLine="420" w:firstLineChars="200"/>
        <w:rPr>
          <w:rFonts w:hint="eastAsia"/>
        </w:rPr>
      </w:pPr>
      <w:r>
        <w:rPr>
          <w:rFonts w:hint="eastAsia"/>
        </w:rPr>
        <w:t>3.2.5 本项目招标人推荐品牌的设备或材料,投标时无需具体选择品牌投标，但投标人中标后须在招标人推荐品牌范围内选择品牌进行采购(不论招标人推荐品牌的产品是否存在价差，中标人均须无条件按照招标人推荐的品牌进行采购，结算时产品价格不予调整)，产品合格证须随货提供,对质量、安全、外观等有要求的材料须根据招标人要求提供样品，经招标人书面同意后方可进行采购。如招标人推荐品牌的产品无法采购或无法达到相关要求，中标人须向招标人说明原因并提出书面申请，经招标人书面同意后按招标人意见调整。如招标人书面同意使用推荐品牌范围外的产品,则所更换品牌的产品的性能、质量须相当于或高于招标人推荐品牌，结算时产品价格不予调整。未经招标人书面同意，自行采购所发生的损失均由中标人自行承担。</w:t>
      </w:r>
    </w:p>
    <w:p w14:paraId="7D97C305">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 w:val="0"/>
          <w:bCs w:val="0"/>
          <w:kern w:val="2"/>
          <w:sz w:val="21"/>
          <w:szCs w:val="24"/>
          <w:lang w:val="en-US" w:eastAsia="zh-CN" w:bidi="ar-SA"/>
        </w:rPr>
      </w:pPr>
      <w:r>
        <w:rPr>
          <w:rFonts w:hint="eastAsia" w:asciiTheme="minorEastAsia" w:hAnsiTheme="minorEastAsia" w:eastAsiaTheme="minorEastAsia" w:cstheme="minorEastAsia"/>
          <w:b w:val="0"/>
          <w:bCs w:val="0"/>
          <w:kern w:val="2"/>
          <w:sz w:val="21"/>
          <w:szCs w:val="24"/>
          <w:lang w:val="en-US" w:eastAsia="zh-CN" w:bidi="ar-SA"/>
        </w:rPr>
        <w:t>如招标人未推荐品牌的设备及材料，须选用目前市场上知名、优等、主流品牌，经招标人书面确认后方可实施，如招标人认为承包人选用的品牌不能达到要求或不能满足提供的技术标准的,招标人有权更换品牌，涉及的设备、材料价格不予调整。</w:t>
      </w:r>
    </w:p>
    <w:p w14:paraId="780038C4">
      <w:pPr>
        <w:spacing w:line="360" w:lineRule="auto"/>
        <w:ind w:firstLine="420" w:firstLineChars="200"/>
      </w:pPr>
      <w:r>
        <w:rPr>
          <w:rFonts w:hint="eastAsia"/>
        </w:rPr>
        <w:t>3.2.6 投标人应充分考虑验收前所有可能产生的费用，招标人向投标人提供的有关现场的数据和资料，是招标人现有的能够被投标人利用的资料，招标人对投标人做出的任何推论、理解和结论均不负责任。</w:t>
      </w:r>
    </w:p>
    <w:p w14:paraId="79346398">
      <w:pPr>
        <w:spacing w:line="360" w:lineRule="auto"/>
        <w:ind w:firstLine="420" w:firstLineChars="200"/>
      </w:pPr>
      <w:r>
        <w:rPr>
          <w:rFonts w:hint="eastAsia"/>
        </w:rPr>
        <w:t>3.2.7 投标人应充分了解本项目现场的位置、周边环境、道路、装卸、保管、安装限制以及影响投标报价的其他因素，结合市场情况进行投标报价。</w:t>
      </w:r>
    </w:p>
    <w:p w14:paraId="4971B6CE">
      <w:pPr>
        <w:spacing w:line="360" w:lineRule="auto"/>
        <w:ind w:firstLine="420" w:firstLineChars="200"/>
      </w:pPr>
      <w:r>
        <w:rPr>
          <w:rFonts w:hint="eastAsia"/>
        </w:rPr>
        <w:t>3.2.8 投标人应充分考虑本项目的地理位置及情况，自行协调实施过程中的地方矛盾及运输过程中的各类矛盾。</w:t>
      </w:r>
    </w:p>
    <w:p w14:paraId="37B1A7EE">
      <w:pPr>
        <w:spacing w:line="360" w:lineRule="auto"/>
        <w:ind w:firstLine="420" w:firstLineChars="200"/>
      </w:pPr>
      <w:r>
        <w:rPr>
          <w:rFonts w:hint="eastAsia"/>
        </w:rPr>
        <w:t>3.2.9 本项目实施过程中须服从招标人的管理，不得对周围各种活动造成影响，不得对周边环境产生污染，供货安装过程中产生的垃圾必须每天及时清运出现场，在供货安装过程中必须严格控制施工噪音，因上述原因产生的全部费用或者被行政处罚所产生的费用均由投标人承担。</w:t>
      </w:r>
    </w:p>
    <w:p w14:paraId="21294528">
      <w:pPr>
        <w:spacing w:line="360" w:lineRule="auto"/>
        <w:ind w:firstLine="420" w:firstLineChars="200"/>
      </w:pPr>
      <w:r>
        <w:rPr>
          <w:rFonts w:hint="eastAsia"/>
        </w:rPr>
        <w:t>3.2.10 本项目必须确保安全，投标人自行承担本项目实施（包含但不限于运输、装卸、供货、安装调试、维保等）过程中的质量、任何状况下的安全责任。</w:t>
      </w:r>
    </w:p>
    <w:p w14:paraId="79505521">
      <w:pPr>
        <w:spacing w:line="360" w:lineRule="auto"/>
        <w:ind w:firstLine="420" w:firstLineChars="200"/>
      </w:pPr>
      <w:r>
        <w:rPr>
          <w:rFonts w:hint="eastAsia"/>
        </w:rPr>
        <w:t>3.2.11 本项目现场临时用水、临时用电由投标人自行解决，费用由投标人承担。</w:t>
      </w:r>
    </w:p>
    <w:p w14:paraId="4D0814A4">
      <w:pPr>
        <w:spacing w:line="360" w:lineRule="auto"/>
        <w:ind w:firstLine="420" w:firstLineChars="200"/>
      </w:pPr>
      <w:r>
        <w:rPr>
          <w:rFonts w:hint="eastAsia"/>
        </w:rPr>
        <w:t>3.2.12 投标人应先到项目现场踏勘，任何因忽视或误解项目情况而导致的索赔或工期延长申请将不被批准。</w:t>
      </w:r>
    </w:p>
    <w:p w14:paraId="27FA83A8">
      <w:pPr>
        <w:spacing w:line="360" w:lineRule="auto"/>
        <w:ind w:firstLine="420" w:firstLineChars="200"/>
      </w:pPr>
      <w:r>
        <w:rPr>
          <w:rFonts w:hint="eastAsia"/>
        </w:rPr>
        <w:t>3.2.13 除规范另有规定外，投标报价统一采用人民币作为计量单位。</w:t>
      </w:r>
    </w:p>
    <w:p w14:paraId="3E123F2E">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3.3 投标有效期</w:t>
      </w:r>
    </w:p>
    <w:p w14:paraId="7BDE0251">
      <w:pPr>
        <w:spacing w:line="360" w:lineRule="auto"/>
        <w:ind w:firstLine="420" w:firstLineChars="200"/>
      </w:pPr>
      <w:r>
        <w:rPr>
          <w:rFonts w:hint="eastAsia"/>
        </w:rPr>
        <w:t>3.3.1 本项目投标有效期为 90 日。</w:t>
      </w:r>
    </w:p>
    <w:p w14:paraId="25A68C1B">
      <w:pPr>
        <w:spacing w:line="360" w:lineRule="auto"/>
        <w:ind w:firstLine="420" w:firstLineChars="200"/>
      </w:pPr>
      <w:r>
        <w:rPr>
          <w:rFonts w:hint="eastAsia"/>
        </w:rPr>
        <w:t>3.3.2 在投标有效期内，投标人撤销或修改其投标文件的，应承担招标文件和法律规定的责任。</w:t>
      </w:r>
    </w:p>
    <w:p w14:paraId="07BF1705">
      <w:pPr>
        <w:spacing w:line="360" w:lineRule="auto"/>
        <w:ind w:firstLine="420" w:firstLineChars="200"/>
      </w:pPr>
      <w:r>
        <w:rPr>
          <w:rFonts w:hint="eastAsia"/>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575E1BA">
      <w:pPr>
        <w:pStyle w:val="20"/>
        <w:widowControl/>
        <w:spacing w:before="260" w:after="260" w:line="240" w:lineRule="auto"/>
        <w:jc w:val="both"/>
        <w:textAlignment w:val="center"/>
        <w:rPr>
          <w:rFonts w:ascii="黑体" w:hAnsi="黑体" w:eastAsia="黑体" w:cs="黑体"/>
          <w:b w:val="0"/>
          <w:bCs w:val="0"/>
          <w:sz w:val="28"/>
          <w:szCs w:val="28"/>
        </w:rPr>
      </w:pPr>
      <w:bookmarkStart w:id="1" w:name="_Hlk517772805"/>
      <w:r>
        <w:rPr>
          <w:rFonts w:hint="eastAsia" w:ascii="黑体" w:hAnsi="黑体" w:eastAsia="黑体" w:cs="黑体"/>
          <w:b w:val="0"/>
          <w:bCs w:val="0"/>
          <w:sz w:val="28"/>
          <w:szCs w:val="28"/>
        </w:rPr>
        <w:t>3.4投标保证金</w:t>
      </w:r>
    </w:p>
    <w:bookmarkEnd w:id="1"/>
    <w:p w14:paraId="42FAF22D">
      <w:pPr>
        <w:spacing w:line="360" w:lineRule="auto"/>
        <w:ind w:firstLine="420" w:firstLineChars="200"/>
      </w:pPr>
      <w:r>
        <w:rPr>
          <w:rFonts w:hint="eastAsia"/>
        </w:rPr>
        <w:t>3.4.1 投标人在递交投标文件的同时，应按规定的金额、形式递交投标保证金，并作为其投标文件的组成部分。联合体投标的，其投标保证金由联合体各方或者联合体中牵头人递交，并应符合有关规定。</w:t>
      </w:r>
    </w:p>
    <w:p w14:paraId="54112B14">
      <w:pPr>
        <w:spacing w:line="360" w:lineRule="auto"/>
        <w:ind w:firstLine="420" w:firstLineChars="200"/>
      </w:pPr>
      <w:r>
        <w:rPr>
          <w:rFonts w:hint="eastAsia"/>
        </w:rPr>
        <w:t>3.4.2 本项目投标保证金数额为：</w:t>
      </w:r>
      <w:r>
        <w:rPr>
          <w:rFonts w:hint="eastAsia" w:ascii="宋体" w:hAnsi="宋体" w:cs="宋体"/>
          <w:b/>
          <w:bCs/>
          <w:szCs w:val="21"/>
          <w:u w:val="single"/>
        </w:rPr>
        <w:t>贰仟元整（</w:t>
      </w:r>
      <w:r>
        <w:rPr>
          <w:rFonts w:ascii="Arial" w:hAnsi="Arial" w:cs="Arial"/>
          <w:b/>
          <w:bCs/>
          <w:szCs w:val="21"/>
          <w:u w:val="single"/>
        </w:rPr>
        <w:t>¥</w:t>
      </w:r>
      <w:r>
        <w:rPr>
          <w:rFonts w:hint="eastAsia"/>
          <w:b/>
          <w:bCs/>
          <w:u w:val="single"/>
        </w:rPr>
        <w:t>2</w:t>
      </w:r>
      <w:r>
        <w:rPr>
          <w:rFonts w:hint="eastAsia" w:ascii="宋体" w:hAnsi="宋体" w:cs="宋体"/>
          <w:b/>
          <w:bCs/>
          <w:szCs w:val="21"/>
          <w:u w:val="single"/>
        </w:rPr>
        <w:t>000元）</w:t>
      </w:r>
      <w:r>
        <w:rPr>
          <w:rFonts w:hint="eastAsia"/>
        </w:rPr>
        <w:t>。投标人须在本项目开标前办理投标保证金缴纳手续，投标保证金有效期与投标有效期一致。各投标人必须以企业法人基本存款账户办理保证金缴纳手续，否则不予接受。</w:t>
      </w:r>
    </w:p>
    <w:p w14:paraId="3EB59F56">
      <w:pPr>
        <w:spacing w:line="360" w:lineRule="auto"/>
        <w:ind w:firstLine="420" w:firstLineChars="200"/>
      </w:pPr>
      <w:r>
        <w:rPr>
          <w:rFonts w:hint="eastAsia"/>
        </w:rPr>
        <w:t>对信用服务机构依据《江苏省企业信用评价指引（试行）》（苏信用办〔2021〕17号）评定为AA级及以上的投标人免交投标保证金，投标时需提供经市发展改革委（市信用办）备案的第三方信用报告原件彩色扫描件，且信用报告概述页等内容通过“信用盐城网”可查证。以联合体形式投标的，需牵头单位提供AA及以上第三方信用报告，方可免交投标保证金，网上投标（供应商）环节无需递交保证金。</w:t>
      </w:r>
    </w:p>
    <w:p w14:paraId="746C12DC">
      <w:pPr>
        <w:spacing w:line="360" w:lineRule="auto"/>
        <w:ind w:firstLine="420" w:firstLineChars="200"/>
      </w:pPr>
      <w:r>
        <w:rPr>
          <w:rFonts w:hint="eastAsia"/>
        </w:rPr>
        <w:t>3.4.3 投标保证金可采用现金缴纳（上传支付凭证）、电子保函（保单）或线下银行保函（上传保函凭证）三种形式，投标人根据企业实际情况合理选择投标保证金的缴纳形式，不同缴纳形式具有同等法律效力。具体缴纳方式为：</w:t>
      </w:r>
    </w:p>
    <w:p w14:paraId="03D9F5ED">
      <w:pPr>
        <w:spacing w:line="360" w:lineRule="auto"/>
        <w:ind w:firstLine="420" w:firstLineChars="200"/>
      </w:pPr>
      <w:r>
        <w:rPr>
          <w:rFonts w:hint="eastAsia"/>
        </w:rPr>
        <w:t>3.4.3.1 现金保证金缴纳方式（指转账或电汇）：招标人委托</w:t>
      </w:r>
      <w:r>
        <w:rPr>
          <w:rFonts w:hint="eastAsia"/>
          <w:b/>
          <w:szCs w:val="21"/>
        </w:rPr>
        <w:t>江苏三实工程管理咨询有限公司</w:t>
      </w:r>
      <w:r>
        <w:rPr>
          <w:rFonts w:hint="eastAsia"/>
        </w:rPr>
        <w:t>负责保证金的管理，投标人必须在投标文件递交截止时间前将投标保证金从投标人本单位的基本账户上直接转（汇）至</w:t>
      </w:r>
      <w:r>
        <w:rPr>
          <w:rFonts w:hint="eastAsia"/>
          <w:b/>
          <w:szCs w:val="21"/>
        </w:rPr>
        <w:t>江苏三实工程管理咨询有限公司</w:t>
      </w:r>
      <w:r>
        <w:rPr>
          <w:rFonts w:hint="eastAsia"/>
        </w:rPr>
        <w:t>指定账户【收款单位</w:t>
      </w:r>
      <w:permStart w:id="4" w:edGrp="everyone"/>
      <w:r>
        <w:rPr>
          <w:rFonts w:hint="eastAsia"/>
        </w:rPr>
        <w:t>：</w:t>
      </w:r>
      <w:r>
        <w:rPr>
          <w:rFonts w:hint="eastAsia"/>
          <w:b/>
          <w:szCs w:val="21"/>
        </w:rPr>
        <w:t>江苏三实工程管理咨询有限公司</w:t>
      </w:r>
      <w:permEnd w:id="4"/>
      <w:r>
        <w:rPr>
          <w:rFonts w:hint="eastAsia"/>
        </w:rPr>
        <w:t>，开户行：</w:t>
      </w:r>
      <w:r>
        <w:rPr>
          <w:rFonts w:hint="eastAsia"/>
          <w:b/>
          <w:bCs/>
        </w:rPr>
        <w:t>江苏银行盐城城中支行</w:t>
      </w:r>
      <w:r>
        <w:rPr>
          <w:rFonts w:hint="eastAsia"/>
        </w:rPr>
        <w:t>，账号：</w:t>
      </w:r>
      <w:r>
        <w:rPr>
          <w:rFonts w:hint="eastAsia" w:ascii="宋体" w:hAnsi="宋体" w:cs="宋体"/>
          <w:b/>
          <w:bCs/>
          <w:szCs w:val="21"/>
        </w:rPr>
        <w:t>12310188000043934</w:t>
      </w:r>
      <w:r>
        <w:rPr>
          <w:rFonts w:hint="eastAsia"/>
        </w:rPr>
        <w:t>，在 投标人系统&gt;&gt;投标保证金 中查询缴纳情况，具体操作请参照“电子交易平台”中操作中心的帮助文档（投标单位保证金缴纳操作指南）。投标保证金汇出单位及汇出帐号，必须与投标人下载招标文件时的单位名称及投标人银行基本账户开户许可证（或开户银行出具的基本存款账户信息证明）中的基本户帐号完全一致。未按招标文件约定要求缴纳投标保证金，其投标文件无效。</w:t>
      </w:r>
    </w:p>
    <w:p w14:paraId="262979DE">
      <w:pPr>
        <w:spacing w:line="360" w:lineRule="auto"/>
        <w:ind w:firstLine="420" w:firstLineChars="200"/>
      </w:pPr>
      <w:r>
        <w:rPr>
          <w:rFonts w:hint="eastAsia"/>
        </w:rPr>
        <w:t>特别提醒：请各投标人提前办理投标保证金缴纳手续，以确保投标保证金在投标截止时间前到达指定账户，没有到账的保证金一律无效。</w:t>
      </w:r>
    </w:p>
    <w:p w14:paraId="51B31B45">
      <w:pPr>
        <w:spacing w:line="360" w:lineRule="auto"/>
        <w:ind w:firstLine="420" w:firstLineChars="200"/>
      </w:pPr>
      <w:r>
        <w:rPr>
          <w:rFonts w:hint="eastAsia"/>
        </w:rPr>
        <w:t>3.4.3.2 电子保函（保单）缴纳方式：电子保函（保单）保证金缴纳方式按照“一标段一保函、一公告一保函”的原则（即多标段项目每投一个标段须单独开具保函，重新招标的项目需重新开具保函），投标人必须在投标文件递交截止时间前办理完成，在投标人系统&gt;&gt;金融服务平台&gt;&gt;订单管理 中查询保函开具情况，具体操作请参照“电子交易平台”中操作中心的帮助文档（投标单位保证金缴纳操作指南）。</w:t>
      </w:r>
    </w:p>
    <w:p w14:paraId="5A4F2E38">
      <w:pPr>
        <w:spacing w:line="360" w:lineRule="auto"/>
        <w:ind w:firstLine="420" w:firstLineChars="200"/>
      </w:pPr>
      <w:r>
        <w:rPr>
          <w:rFonts w:hint="eastAsia"/>
        </w:rPr>
        <w:t>投标人采用电子保函（保单）形式缴纳投标保证金的，在投标截止日之前须到金融服务平台确认是否生效，并确保生效起始时间在本次招标公告发布后、投标截止时间前，否则将视为无效，不予接受投标。</w:t>
      </w:r>
    </w:p>
    <w:p w14:paraId="2B1A49A9">
      <w:pPr>
        <w:spacing w:line="360" w:lineRule="auto"/>
        <w:ind w:firstLine="420" w:firstLineChars="200"/>
      </w:pPr>
      <w:r>
        <w:rPr>
          <w:rFonts w:hint="eastAsia"/>
        </w:rPr>
        <w:t>3.4.3.3 线下银行保函缴纳方式：投标人必须在投标文件递交截止时间前取得本单位基本账户开户行出具的保函，网上投标（供应商）环节无需递交保证金。</w:t>
      </w:r>
    </w:p>
    <w:p w14:paraId="1E0B566E">
      <w:pPr>
        <w:spacing w:line="360" w:lineRule="auto"/>
        <w:ind w:firstLine="422" w:firstLineChars="200"/>
        <w:rPr>
          <w:b/>
          <w:bCs/>
        </w:rPr>
      </w:pPr>
      <w:r>
        <w:rPr>
          <w:rFonts w:hint="eastAsia"/>
          <w:b/>
          <w:bCs/>
        </w:rPr>
        <w:t>重要说明：投标人符合免交投标保证金情形的、通过以上3.4.3.1~3.4.3.3缴纳投标保证金的，但未在投标文件中提供相关证明材料电子原件或扫描件的，视为其未按照招标文件要求提供投标保证金，责任由投标人自负。相关证明材料包括：经市发展改革委（市信用办）备案的第三方信用报告、银行转账回单、电子保函（保单）、银行保函。</w:t>
      </w:r>
    </w:p>
    <w:p w14:paraId="3C671F28">
      <w:pPr>
        <w:spacing w:line="360" w:lineRule="auto"/>
        <w:ind w:firstLine="420" w:firstLineChars="200"/>
      </w:pPr>
      <w:r>
        <w:rPr>
          <w:rFonts w:hint="eastAsia"/>
        </w:rPr>
        <w:t>3.4.4 投标保证金退还</w:t>
      </w:r>
    </w:p>
    <w:p w14:paraId="4904539A">
      <w:pPr>
        <w:spacing w:line="360" w:lineRule="auto"/>
        <w:ind w:firstLine="420" w:firstLineChars="200"/>
      </w:pPr>
      <w:r>
        <w:rPr>
          <w:rFonts w:hint="eastAsia"/>
        </w:rPr>
        <w:t>3.4.4.1 投标保证金退还时间：以现金形式缴纳的保证金，无息退还至投标人的法人基本存款账户。具体退还时间为：中标候选人公示结束后，无息退还非中标候选人的投标保证金；合同签订后5日内，经招标人同意，无息退还中标候选人的投标保证金。保证金退还的操作流程详见第3.4.3.1条相关内容。</w:t>
      </w:r>
    </w:p>
    <w:p w14:paraId="48851338">
      <w:pPr>
        <w:spacing w:line="360" w:lineRule="auto"/>
        <w:ind w:firstLine="420" w:firstLineChars="200"/>
      </w:pPr>
      <w:r>
        <w:rPr>
          <w:rFonts w:hint="eastAsia"/>
        </w:rPr>
        <w:t>以电子保函（保单）、银行保函形式缴纳的保证金按相关协议执行，无需办理退款手续。</w:t>
      </w:r>
    </w:p>
    <w:p w14:paraId="65AEE5EC">
      <w:pPr>
        <w:spacing w:line="360" w:lineRule="auto"/>
        <w:ind w:firstLine="420" w:firstLineChars="200"/>
      </w:pPr>
      <w:r>
        <w:rPr>
          <w:rFonts w:hint="eastAsia"/>
        </w:rPr>
        <w:t>3.4.4.2 有投诉（异议）的项目，中标候选人及异议人（投诉人）投标保证金在招标项目签订合同后予以退还。因恶意投诉（异议）的、利用保密信息投诉的及投诉（异议）不实的投诉行为被通报的，自通报之日起6个月内，投诉（异议）人所有投标项目的投标保证金在招标项目签订合同后予以退还。</w:t>
      </w:r>
    </w:p>
    <w:p w14:paraId="6B86BAEC">
      <w:pPr>
        <w:spacing w:line="360" w:lineRule="auto"/>
        <w:ind w:firstLine="420" w:firstLineChars="200"/>
      </w:pPr>
      <w:r>
        <w:rPr>
          <w:rFonts w:hint="eastAsia"/>
        </w:rPr>
        <w:t>投诉人故意捏造事实、伪造证明材料或者以非法手段取得证明材料进行投诉的给他人造成的损失的，投诉人依法承担赔偿责任。招标人直接扣减相应数额，确认应予退还保证金的数额，并经监管机构存档后，办理退款手续。以电子保函（保单）形式提交投标保证金的，由被保险人发起理赔申请；以银行保函形式提供投标保证金的，由开立保函的银行根据招标人通知要求，支付银行保函中相应的数额给招标人。</w:t>
      </w:r>
    </w:p>
    <w:p w14:paraId="75745AFA">
      <w:pPr>
        <w:spacing w:line="360" w:lineRule="auto"/>
        <w:ind w:firstLine="420" w:firstLineChars="200"/>
      </w:pPr>
      <w:r>
        <w:rPr>
          <w:rFonts w:hint="eastAsia"/>
        </w:rPr>
        <w:t>3.4.4.3 有下列情形之一的，投标保证金将不予退还：</w:t>
      </w:r>
    </w:p>
    <w:p w14:paraId="08F5B89C">
      <w:pPr>
        <w:spacing w:line="360" w:lineRule="auto"/>
        <w:ind w:firstLine="420" w:firstLineChars="200"/>
      </w:pPr>
      <w:r>
        <w:rPr>
          <w:rFonts w:hint="eastAsia"/>
        </w:rPr>
        <w:t>（1）投标人在规定的投标有效期内撤销或修改其投标文件的。</w:t>
      </w:r>
    </w:p>
    <w:p w14:paraId="3D15F75C">
      <w:pPr>
        <w:spacing w:line="360" w:lineRule="auto"/>
        <w:ind w:firstLine="420" w:firstLineChars="200"/>
      </w:pPr>
      <w:r>
        <w:rPr>
          <w:rFonts w:hint="eastAsia"/>
        </w:rPr>
        <w:t>（2）中标人在收到中标通知书后，无正当理由拒绝签订合同协议书或未按招标文件规定的提交履约担保。</w:t>
      </w:r>
    </w:p>
    <w:p w14:paraId="1D4E8E7A">
      <w:pPr>
        <w:spacing w:line="360" w:lineRule="auto"/>
        <w:ind w:firstLine="420" w:firstLineChars="200"/>
      </w:pPr>
      <w:r>
        <w:rPr>
          <w:rFonts w:hint="eastAsia"/>
        </w:rPr>
        <w:t>（3）投标人因串通投标、弄虚作假等违法行为被招标人处罚或行政监督部门行政处罚的，投标保证金不予退还，归招标人所有。</w:t>
      </w:r>
    </w:p>
    <w:p w14:paraId="5DFB5B3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3.5 资格审查资料</w:t>
      </w:r>
    </w:p>
    <w:p w14:paraId="20800202">
      <w:pPr>
        <w:spacing w:line="360" w:lineRule="auto"/>
        <w:ind w:firstLine="420" w:firstLineChars="200"/>
      </w:pPr>
      <w:r>
        <w:rPr>
          <w:rFonts w:hint="eastAsia"/>
        </w:rPr>
        <w:t>投标人投标文件中提供的以下资格审查资料必须为原件彩色扫描件（或电子证照），关键信息齐全、清晰可辨（钢印除外）。</w:t>
      </w:r>
    </w:p>
    <w:p w14:paraId="4B8A94B2">
      <w:pPr>
        <w:spacing w:line="360" w:lineRule="auto"/>
        <w:ind w:firstLine="420" w:firstLineChars="200"/>
        <w:rPr>
          <w:highlight w:val="none"/>
        </w:rPr>
      </w:pPr>
      <w:r>
        <w:rPr>
          <w:rFonts w:hint="eastAsia"/>
          <w:highlight w:val="none"/>
        </w:rPr>
        <w:t>（1）投标人有效的营业执照。</w:t>
      </w:r>
    </w:p>
    <w:p w14:paraId="379D2FA8">
      <w:pPr>
        <w:spacing w:line="360" w:lineRule="auto"/>
        <w:ind w:firstLine="420" w:firstLineChars="200"/>
        <w:rPr>
          <w:highlight w:val="none"/>
        </w:rPr>
      </w:pPr>
      <w:r>
        <w:rPr>
          <w:rFonts w:hint="eastAsia"/>
          <w:highlight w:val="none"/>
        </w:rPr>
        <w:t>（2）投标人有效的资质证书。</w:t>
      </w:r>
    </w:p>
    <w:p w14:paraId="0AC7A75A">
      <w:pPr>
        <w:spacing w:line="360" w:lineRule="auto"/>
        <w:ind w:firstLine="420" w:firstLineChars="200"/>
        <w:rPr>
          <w:highlight w:val="none"/>
        </w:rPr>
      </w:pPr>
      <w:r>
        <w:rPr>
          <w:rFonts w:hint="eastAsia"/>
          <w:highlight w:val="none"/>
        </w:rPr>
        <w:t>（3）投标人有效的安全生产许可证。</w:t>
      </w:r>
    </w:p>
    <w:p w14:paraId="101EFBC2">
      <w:pPr>
        <w:spacing w:line="360" w:lineRule="auto"/>
        <w:ind w:firstLine="420" w:firstLineChars="200"/>
        <w:rPr>
          <w:highlight w:val="none"/>
        </w:rPr>
      </w:pPr>
      <w:r>
        <w:rPr>
          <w:rFonts w:hint="eastAsia"/>
          <w:highlight w:val="none"/>
        </w:rPr>
        <w:t>（4）投标项目负责人有效的安全生产考核合格证（B类）。</w:t>
      </w:r>
    </w:p>
    <w:p w14:paraId="0023AE6A">
      <w:pPr>
        <w:spacing w:line="360" w:lineRule="auto"/>
        <w:ind w:firstLine="420" w:firstLineChars="200"/>
        <w:rPr>
          <w:highlight w:val="none"/>
        </w:rPr>
      </w:pPr>
      <w:r>
        <w:rPr>
          <w:rFonts w:hint="eastAsia"/>
          <w:highlight w:val="none"/>
        </w:rPr>
        <w:t>（5）投标项目负责人有效的建造师注册证书。</w:t>
      </w:r>
    </w:p>
    <w:p w14:paraId="27F0C438">
      <w:pPr>
        <w:spacing w:line="360" w:lineRule="auto"/>
        <w:ind w:firstLine="420" w:firstLineChars="200"/>
        <w:rPr>
          <w:rFonts w:hint="eastAsia"/>
        </w:rPr>
      </w:pPr>
      <w:r>
        <w:rPr>
          <w:rFonts w:hint="eastAsia"/>
          <w:highlight w:val="none"/>
        </w:rPr>
        <w:t>（6）企业或项目负责人类似工程业绩（如有）。</w:t>
      </w:r>
    </w:p>
    <w:p w14:paraId="48F01AC9">
      <w:pPr>
        <w:spacing w:line="360" w:lineRule="auto"/>
        <w:ind w:firstLine="420" w:firstLineChars="200"/>
      </w:pPr>
      <w:r>
        <w:rPr>
          <w:rFonts w:hint="eastAsia"/>
        </w:rPr>
        <w:t>注：业绩须提交的材料要求如下：</w:t>
      </w:r>
    </w:p>
    <w:p w14:paraId="715D6F33">
      <w:pPr>
        <w:spacing w:line="360" w:lineRule="auto"/>
        <w:ind w:firstLine="420" w:firstLineChars="200"/>
      </w:pPr>
      <w:r>
        <w:rPr>
          <w:rFonts w:hint="eastAsia"/>
        </w:rPr>
        <w:t>（1）中标通知书（如需要）、合同扫描件。</w:t>
      </w:r>
    </w:p>
    <w:p w14:paraId="0D7EF4CC">
      <w:pPr>
        <w:spacing w:line="360" w:lineRule="auto"/>
        <w:ind w:firstLine="420" w:firstLineChars="200"/>
      </w:pPr>
      <w:r>
        <w:rPr>
          <w:rFonts w:hint="eastAsia"/>
        </w:rPr>
        <w:t>（2）本招标文件要求的相关指标（如合同金额、项目负责人等）需在提供的中标通知书（如需要）或采购合同中体现，未能体现相关指标的需提交相关证明材料，投标文件中同一指标，不一致的，以最小的为准。</w:t>
      </w:r>
    </w:p>
    <w:p w14:paraId="6583EC6C">
      <w:pPr>
        <w:spacing w:line="360" w:lineRule="auto"/>
        <w:ind w:firstLine="420" w:firstLineChars="200"/>
      </w:pPr>
      <w:r>
        <w:rPr>
          <w:rFonts w:hint="eastAsia"/>
        </w:rPr>
        <w:t>（3）招标人对投标人提供的中标通知书（如需要）、合同等有关业绩证明材料怀疑涉嫌造假的，招标人认为需要调查取证时，如能够调取到当地主管部门存档资料的，一律以调取的存档资料为准。</w:t>
      </w:r>
    </w:p>
    <w:p w14:paraId="64EC0CA4">
      <w:pPr>
        <w:spacing w:line="360" w:lineRule="auto"/>
        <w:ind w:firstLine="422" w:firstLineChars="200"/>
        <w:rPr>
          <w:b/>
          <w:bCs/>
        </w:rPr>
      </w:pPr>
      <w:r>
        <w:rPr>
          <w:rFonts w:hint="eastAsia"/>
          <w:b/>
          <w:bCs/>
        </w:rPr>
        <w:t>特别提醒：</w:t>
      </w:r>
    </w:p>
    <w:p w14:paraId="00CF346B">
      <w:pPr>
        <w:spacing w:line="360" w:lineRule="auto"/>
        <w:ind w:firstLine="422" w:firstLineChars="200"/>
        <w:rPr>
          <w:b/>
          <w:bCs/>
        </w:rPr>
      </w:pPr>
      <w:r>
        <w:rPr>
          <w:rFonts w:hint="eastAsia"/>
          <w:b/>
          <w:bCs/>
        </w:rPr>
        <w:t>1、因上述扫描件不清晰无法辨认或提供的关键信息不全导致被评委废标，后果由投标人自负。</w:t>
      </w:r>
    </w:p>
    <w:p w14:paraId="20F34E21">
      <w:pPr>
        <w:spacing w:line="360" w:lineRule="auto"/>
        <w:ind w:firstLine="422" w:firstLineChars="200"/>
        <w:rPr>
          <w:b/>
          <w:bCs/>
        </w:rPr>
      </w:pPr>
      <w:r>
        <w:rPr>
          <w:rFonts w:hint="eastAsia"/>
          <w:b/>
          <w:bCs/>
        </w:rPr>
        <w:t>2、各投标人对本企业提供的资料真实性负责，并保证其真实有效；如发现上述资格审查资料不实，依据相关法律法规和规定以投标人弄虚作假骗取中标的行为予以相应处罚。</w:t>
      </w:r>
    </w:p>
    <w:p w14:paraId="57268585">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3.6 投标文件的编制</w:t>
      </w:r>
    </w:p>
    <w:p w14:paraId="4B321CBC">
      <w:pPr>
        <w:spacing w:line="360" w:lineRule="auto"/>
        <w:ind w:firstLine="420" w:firstLineChars="200"/>
      </w:pPr>
      <w:r>
        <w:rPr>
          <w:rFonts w:hint="eastAsia"/>
        </w:rPr>
        <w:t>3.6.1 投标文件应按第六章“投标文件格式”进行编写，如有必要可自行增加，作为投标文件的组成部分。</w:t>
      </w:r>
    </w:p>
    <w:p w14:paraId="29057207">
      <w:pPr>
        <w:spacing w:line="360" w:lineRule="auto"/>
        <w:ind w:firstLine="420" w:firstLineChars="200"/>
      </w:pPr>
      <w:r>
        <w:rPr>
          <w:rFonts w:hint="eastAsia"/>
        </w:rPr>
        <w:t>3.6.2 投标文件应当对招标文件有关供货期限、投标有效期、质量要求、技术标准和要求、招标范围等实质性内容作出响应。</w:t>
      </w:r>
    </w:p>
    <w:p w14:paraId="4B407A17">
      <w:pPr>
        <w:spacing w:line="360" w:lineRule="auto"/>
        <w:ind w:firstLine="420" w:firstLineChars="200"/>
      </w:pPr>
      <w:r>
        <w:rPr>
          <w:rFonts w:hint="eastAsia"/>
        </w:rPr>
        <w:t>3.6.3 投标文件编制方式：</w:t>
      </w:r>
    </w:p>
    <w:p w14:paraId="5C01FD36">
      <w:pPr>
        <w:spacing w:line="360" w:lineRule="auto"/>
        <w:ind w:firstLine="420" w:firstLineChars="200"/>
      </w:pPr>
      <w:r>
        <w:rPr>
          <w:rFonts w:hint="eastAsia"/>
        </w:rPr>
        <w:t>电子投标文件由投标人登录“电子交易平台”使用“投标文件编制服务”制作生成，并在规定投标截止时间前使用手机CA证书将加密的投标文件（电子投标文件制作生成投标文件，将生成一份加密的电子投标文件，后缀名为.TBJ）上传到“电子交易平台”。</w:t>
      </w:r>
    </w:p>
    <w:p w14:paraId="4B2DA617">
      <w:pPr>
        <w:spacing w:line="360" w:lineRule="auto"/>
        <w:ind w:firstLine="422" w:firstLineChars="200"/>
        <w:rPr>
          <w:b/>
          <w:bCs/>
        </w:rPr>
      </w:pPr>
      <w:r>
        <w:rPr>
          <w:rFonts w:hint="eastAsia"/>
          <w:b/>
          <w:bCs/>
        </w:rPr>
        <w:t>特别提醒：</w:t>
      </w:r>
    </w:p>
    <w:p w14:paraId="4A6C2CD1">
      <w:pPr>
        <w:spacing w:line="360" w:lineRule="auto"/>
        <w:ind w:firstLine="422" w:firstLineChars="200"/>
        <w:rPr>
          <w:b/>
          <w:bCs/>
        </w:rPr>
      </w:pPr>
      <w:r>
        <w:rPr>
          <w:rFonts w:hint="eastAsia"/>
          <w:b/>
          <w:bCs/>
        </w:rPr>
        <w:t>（1）本招标文件要求的所有扫描件资料，均指原件彩色扫描件，否则不予认可。</w:t>
      </w:r>
    </w:p>
    <w:p w14:paraId="274C559F">
      <w:pPr>
        <w:spacing w:line="360" w:lineRule="auto"/>
        <w:ind w:firstLine="422" w:firstLineChars="200"/>
        <w:rPr>
          <w:b/>
          <w:bCs/>
        </w:rPr>
      </w:pPr>
      <w:r>
        <w:rPr>
          <w:rFonts w:hint="eastAsia"/>
          <w:b/>
          <w:bCs/>
        </w:rPr>
        <w:t>（2）投标人应对投标文件的真实性负责。如果投标人弄虚作假，提供虚假参数、信息、资料的，其投标作废标处理，投标保证金将被没收并承担相应的责任。</w:t>
      </w:r>
    </w:p>
    <w:p w14:paraId="1A89EB6E">
      <w:pPr>
        <w:spacing w:line="360" w:lineRule="auto"/>
        <w:ind w:firstLine="422" w:firstLineChars="200"/>
        <w:rPr>
          <w:b/>
          <w:bCs/>
          <w:szCs w:val="21"/>
        </w:rPr>
      </w:pPr>
      <w:r>
        <w:rPr>
          <w:rFonts w:hint="eastAsia"/>
          <w:b/>
          <w:bCs/>
        </w:rPr>
        <w:t>（3）中标单位中标后须提供上述材料并须装订成册递送至招标代理公司，一式三份（其中正本一份，副本二份），提供的投标文件须与中标人提交的投标文件PDF文档一致。</w:t>
      </w:r>
    </w:p>
    <w:p w14:paraId="64FF6927">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3.7 备选投标方案</w:t>
      </w:r>
    </w:p>
    <w:p w14:paraId="771CB4B8">
      <w:pPr>
        <w:spacing w:line="360" w:lineRule="auto"/>
        <w:ind w:firstLine="420" w:firstLineChars="200"/>
      </w:pPr>
      <w:r>
        <w:rPr>
          <w:rFonts w:hint="eastAsia"/>
        </w:rPr>
        <w:t>除“投标人须知”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6C86C69">
      <w:pPr>
        <w:pStyle w:val="6"/>
        <w:keepNext w:val="0"/>
        <w:keepLines w:val="0"/>
        <w:widowControl/>
        <w:numPr>
          <w:ilvl w:val="0"/>
          <w:numId w:val="2"/>
        </w:numPr>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投标</w:t>
      </w:r>
    </w:p>
    <w:p w14:paraId="496B2BAC">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4.1 投标文件的加密和数字证书认证</w:t>
      </w:r>
    </w:p>
    <w:p w14:paraId="3D249E95">
      <w:pPr>
        <w:spacing w:line="360" w:lineRule="auto"/>
        <w:ind w:firstLine="420" w:firstLineChars="200"/>
      </w:pPr>
      <w:r>
        <w:rPr>
          <w:rFonts w:hint="eastAsia"/>
        </w:rPr>
        <w:t>4.1.1 投标文件应使用电子交易平台办理的手机CA数字证书对其网上投标文件认证并加密。</w:t>
      </w:r>
    </w:p>
    <w:p w14:paraId="5A926D4E">
      <w:pPr>
        <w:spacing w:line="360" w:lineRule="auto"/>
        <w:ind w:firstLine="420" w:firstLineChars="200"/>
      </w:pPr>
      <w:r>
        <w:rPr>
          <w:rFonts w:hint="eastAsia"/>
        </w:rPr>
        <w:t>4.1.2 未按本章第4.1.1项要求加密和数字证书认证的投标文件，招标人拒收。</w:t>
      </w:r>
    </w:p>
    <w:p w14:paraId="53D15856">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4.2 投标文件的提交</w:t>
      </w:r>
    </w:p>
    <w:p w14:paraId="589B4049">
      <w:pPr>
        <w:spacing w:line="360" w:lineRule="auto"/>
        <w:ind w:firstLine="420" w:firstLineChars="200"/>
      </w:pPr>
      <w:r>
        <w:rPr>
          <w:rFonts w:hint="eastAsia"/>
        </w:rPr>
        <w:t>4.2.1 投标人应在招标文件规定的投标截止时间前完成投标文件的递交。电子档投标文件的递交是指使用“电子交易平台”网上交易系统在投标截止时间前完成投标文件的上传；投标备份文件是否提交由投标人自主决定。</w:t>
      </w:r>
    </w:p>
    <w:p w14:paraId="37D000A8">
      <w:pPr>
        <w:spacing w:line="360" w:lineRule="auto"/>
        <w:ind w:firstLine="420" w:firstLineChars="200"/>
      </w:pPr>
      <w:r>
        <w:rPr>
          <w:rFonts w:hint="eastAsia"/>
        </w:rPr>
        <w:t>4.2.2 投标人递交投标文件的地点：投标人应在投标截止时间前，将电子投标文件上传至“海兴控股集团电子招标采购交易平台”对应的本次开标标段中，未及时上传的，招标人不再受理。</w:t>
      </w:r>
    </w:p>
    <w:p w14:paraId="395A88BE">
      <w:pPr>
        <w:spacing w:line="360" w:lineRule="auto"/>
        <w:ind w:firstLine="420" w:firstLineChars="200"/>
      </w:pPr>
      <w:r>
        <w:rPr>
          <w:rFonts w:hint="eastAsia"/>
        </w:rPr>
        <w:t>4.2.3 除招标文件另有规定外，投标人所递交的投标文件不予退还。</w:t>
      </w:r>
    </w:p>
    <w:p w14:paraId="4D5BFFB5">
      <w:pPr>
        <w:spacing w:line="360" w:lineRule="auto"/>
        <w:ind w:firstLine="420" w:firstLineChars="200"/>
      </w:pPr>
      <w:r>
        <w:rPr>
          <w:rFonts w:hint="eastAsia"/>
        </w:rPr>
        <w:t>4.2.4 有下列情形之一的投标文件拒收并退回：</w:t>
      </w:r>
    </w:p>
    <w:p w14:paraId="34B0F266">
      <w:pPr>
        <w:spacing w:line="360" w:lineRule="auto"/>
        <w:ind w:firstLine="420" w:firstLineChars="200"/>
      </w:pPr>
      <w:r>
        <w:rPr>
          <w:rFonts w:hint="eastAsia"/>
        </w:rPr>
        <w:t>1）投标文件逾期递交的或者未在指定时间内完成投标文件解密的。</w:t>
      </w:r>
    </w:p>
    <w:p w14:paraId="0FA5B600">
      <w:pPr>
        <w:spacing w:line="360" w:lineRule="auto"/>
        <w:ind w:firstLine="420" w:firstLineChars="200"/>
      </w:pPr>
      <w:r>
        <w:rPr>
          <w:rFonts w:hint="eastAsia"/>
        </w:rPr>
        <w:t>2）投标文件未按照招标文件规定要求提供齐全的。</w:t>
      </w:r>
    </w:p>
    <w:p w14:paraId="2776947B">
      <w:pPr>
        <w:spacing w:line="360" w:lineRule="auto"/>
        <w:ind w:firstLine="420" w:firstLineChars="200"/>
      </w:pPr>
      <w:r>
        <w:rPr>
          <w:rFonts w:hint="eastAsia"/>
        </w:rPr>
        <w:t>3）投标人CA锁无法解密投标文件的。</w:t>
      </w:r>
    </w:p>
    <w:p w14:paraId="115DB0C2">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4.3 投标文件的修改与撤回</w:t>
      </w:r>
    </w:p>
    <w:p w14:paraId="22E2F8B4">
      <w:pPr>
        <w:spacing w:line="360" w:lineRule="auto"/>
        <w:ind w:firstLine="420" w:firstLineChars="200"/>
      </w:pPr>
      <w:r>
        <w:rPr>
          <w:rFonts w:hint="eastAsia"/>
        </w:rPr>
        <w:t>4.3.1 在招标文件规定的投标截止时间前，投标人可以多次修改或撤回已递交的投标文件，最终投标文件以投标截止时间前完成上传至“电子交易平台”网上交易系统最后一份投标文件为准。</w:t>
      </w:r>
    </w:p>
    <w:p w14:paraId="4E75E03C">
      <w:pPr>
        <w:spacing w:line="360" w:lineRule="auto"/>
        <w:ind w:firstLine="420" w:firstLineChars="200"/>
      </w:pPr>
      <w:r>
        <w:rPr>
          <w:rFonts w:hint="eastAsia"/>
        </w:rPr>
        <w:t>4.3.2 修改的投标文件应按照本章第3.6条、第4.2条规定进行编制和递交。</w:t>
      </w:r>
    </w:p>
    <w:p w14:paraId="53455851">
      <w:pPr>
        <w:spacing w:line="360" w:lineRule="auto"/>
        <w:ind w:firstLine="420" w:firstLineChars="200"/>
      </w:pPr>
      <w:r>
        <w:rPr>
          <w:rFonts w:hint="eastAsia"/>
        </w:rPr>
        <w:t>4.3.3 投标截止时间之后，在投标有效期内，投标人不得修改或撤回投标文件，否则投标保证金将不予退还。</w:t>
      </w:r>
    </w:p>
    <w:p w14:paraId="4E279EFB">
      <w:pPr>
        <w:pStyle w:val="6"/>
        <w:keepNext w:val="0"/>
        <w:keepLines w:val="0"/>
        <w:widowControl/>
        <w:numPr>
          <w:ilvl w:val="0"/>
          <w:numId w:val="2"/>
        </w:numPr>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开标</w:t>
      </w:r>
    </w:p>
    <w:p w14:paraId="128A537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5.1 开标（解密）时间和地点</w:t>
      </w:r>
    </w:p>
    <w:p w14:paraId="0CCA3634">
      <w:pPr>
        <w:spacing w:line="360" w:lineRule="auto"/>
        <w:ind w:firstLine="420" w:firstLineChars="200"/>
      </w:pPr>
      <w:r>
        <w:rPr>
          <w:rFonts w:hint="eastAsia"/>
        </w:rPr>
        <w:t>5.1.1 招标人在本章第4.2.1项规定的投标截止时间（开标时间）在“电子交易平台”上公开开标，所有投标人均应当准时参加开标。</w:t>
      </w:r>
    </w:p>
    <w:p w14:paraId="3A945052">
      <w:pPr>
        <w:spacing w:line="360" w:lineRule="auto"/>
        <w:ind w:firstLine="420" w:firstLineChars="200"/>
      </w:pPr>
      <w:r>
        <w:rPr>
          <w:rFonts w:hint="eastAsia"/>
        </w:rPr>
        <w:t>5.1.2 招标人通过互联网在“电子交易平台”组织线上开标，在投标截止时间30分钟前，使用账号密码或手机CA数字证书登录“电子交易平台”，进入“开标大厅”选择相应标段做好开标的准备工作。</w:t>
      </w:r>
    </w:p>
    <w:p w14:paraId="2667BB23">
      <w:pPr>
        <w:spacing w:line="360" w:lineRule="auto"/>
        <w:ind w:firstLine="420" w:firstLineChars="200"/>
        <w:rPr>
          <w:lang w:val="zh-CN"/>
        </w:rPr>
      </w:pPr>
      <w:r>
        <w:rPr>
          <w:rFonts w:hint="eastAsia"/>
        </w:rPr>
        <w:t xml:space="preserve">5.1.3 </w:t>
      </w:r>
      <w:r>
        <w:rPr>
          <w:rFonts w:hint="eastAsia"/>
          <w:lang w:val="zh-CN"/>
        </w:rPr>
        <w:t>投标人必须在投标截止时间前，远程参加开标或现场参加开标（到现场的应携带</w:t>
      </w:r>
      <w:r>
        <w:rPr>
          <w:rFonts w:hint="eastAsia"/>
        </w:rPr>
        <w:t>手机</w:t>
      </w:r>
      <w:r>
        <w:rPr>
          <w:rFonts w:hint="eastAsia"/>
          <w:lang w:val="zh-CN"/>
        </w:rPr>
        <w:t>CA数字证书和已安装好CA驱动的笔记本电脑），使用加密投标文件的</w:t>
      </w:r>
      <w:r>
        <w:rPr>
          <w:rFonts w:hint="eastAsia"/>
        </w:rPr>
        <w:t>手机</w:t>
      </w:r>
      <w:r>
        <w:rPr>
          <w:rFonts w:hint="eastAsia"/>
          <w:lang w:val="zh-CN"/>
        </w:rPr>
        <w:t>CA数字证书登录“电子交易平台”，进入“开标大厅”选择所投标标段进行签到，并保持实时在线，按要求进行相关解密及后续操作。</w:t>
      </w:r>
    </w:p>
    <w:p w14:paraId="2F7A8825">
      <w:pPr>
        <w:spacing w:line="360" w:lineRule="auto"/>
        <w:ind w:firstLine="422" w:firstLineChars="200"/>
        <w:rPr>
          <w:b/>
          <w:bCs/>
        </w:rPr>
      </w:pPr>
      <w:r>
        <w:rPr>
          <w:rFonts w:hint="eastAsia"/>
          <w:b/>
          <w:bCs/>
        </w:rPr>
        <w:t>注：开标时用于解密的手机CA证书（投标解密符）应为该投标文件生成加密、上传的同一部手机CA证书（投标解密符）。</w:t>
      </w:r>
    </w:p>
    <w:p w14:paraId="6ABCFBB1">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5.2 开标程序</w:t>
      </w:r>
    </w:p>
    <w:p w14:paraId="2604AF8E">
      <w:pPr>
        <w:spacing w:line="360" w:lineRule="auto"/>
        <w:ind w:firstLine="420" w:firstLineChars="200"/>
      </w:pPr>
      <w:r>
        <w:rPr>
          <w:rFonts w:hint="eastAsia"/>
        </w:rPr>
        <w:t>5.2.1 主持人按下列程序</w:t>
      </w:r>
      <w:r>
        <w:rPr>
          <w:rFonts w:hint="eastAsia"/>
          <w:lang w:val="zh-CN"/>
        </w:rPr>
        <w:t>在电子交易平台的“开标大厅”进行电子开标</w:t>
      </w:r>
      <w:r>
        <w:rPr>
          <w:rFonts w:hint="eastAsia"/>
        </w:rPr>
        <w:t>：</w:t>
      </w:r>
    </w:p>
    <w:p w14:paraId="2A4E7E28">
      <w:pPr>
        <w:spacing w:line="360" w:lineRule="auto"/>
        <w:ind w:firstLine="420" w:firstLineChars="200"/>
        <w:rPr>
          <w:lang w:val="zh-CN"/>
        </w:rPr>
      </w:pPr>
      <w:r>
        <w:rPr>
          <w:rFonts w:hint="eastAsia"/>
          <w:lang w:val="zh-CN"/>
        </w:rPr>
        <w:t>（1）宣布开标纪律；</w:t>
      </w:r>
    </w:p>
    <w:p w14:paraId="2559C10C">
      <w:pPr>
        <w:spacing w:line="360" w:lineRule="auto"/>
        <w:ind w:firstLine="420" w:firstLineChars="200"/>
        <w:rPr>
          <w:lang w:val="zh-CN"/>
        </w:rPr>
      </w:pPr>
      <w:r>
        <w:rPr>
          <w:rFonts w:hint="eastAsia"/>
          <w:lang w:val="zh-CN"/>
        </w:rPr>
        <w:t>（2）宣布招标人、招标代理机构、出席开标会的有关人员姓名；</w:t>
      </w:r>
    </w:p>
    <w:p w14:paraId="11BFEF59">
      <w:pPr>
        <w:spacing w:line="360" w:lineRule="auto"/>
        <w:ind w:firstLine="420" w:firstLineChars="200"/>
        <w:rPr>
          <w:lang w:val="zh-CN"/>
        </w:rPr>
      </w:pPr>
      <w:r>
        <w:rPr>
          <w:rFonts w:hint="eastAsia"/>
          <w:lang w:val="zh-CN"/>
        </w:rPr>
        <w:t>（</w:t>
      </w:r>
      <w:r>
        <w:rPr>
          <w:rFonts w:hint="eastAsia"/>
        </w:rPr>
        <w:t>3</w:t>
      </w:r>
      <w:r>
        <w:rPr>
          <w:rFonts w:hint="eastAsia"/>
          <w:lang w:val="zh-CN"/>
        </w:rPr>
        <w:t>）</w:t>
      </w:r>
      <w:r>
        <w:rPr>
          <w:rFonts w:hint="eastAsia"/>
        </w:rPr>
        <w:t>由招标人代表在现场随机抽取，确定本项目的有关投标报价及系数</w:t>
      </w:r>
      <w:r>
        <w:rPr>
          <w:rFonts w:hint="eastAsia"/>
          <w:lang w:val="zh-CN"/>
        </w:rPr>
        <w:t>；</w:t>
      </w:r>
    </w:p>
    <w:p w14:paraId="1873E5BF">
      <w:pPr>
        <w:spacing w:line="360" w:lineRule="auto"/>
        <w:ind w:firstLine="420" w:firstLineChars="200"/>
        <w:rPr>
          <w:lang w:val="zh-CN"/>
        </w:rPr>
      </w:pPr>
      <w:r>
        <w:rPr>
          <w:rFonts w:hint="eastAsia"/>
          <w:lang w:val="zh-CN"/>
        </w:rPr>
        <w:t>（</w:t>
      </w:r>
      <w:r>
        <w:rPr>
          <w:rFonts w:hint="eastAsia"/>
        </w:rPr>
        <w:t>4</w:t>
      </w:r>
      <w:r>
        <w:rPr>
          <w:rFonts w:hint="eastAsia"/>
          <w:lang w:val="zh-CN"/>
        </w:rPr>
        <w:t>）在系统内公布投标人名单，通过开标会议区发出投标文件解密的指令；</w:t>
      </w:r>
    </w:p>
    <w:p w14:paraId="704CA58A">
      <w:pPr>
        <w:spacing w:line="360" w:lineRule="auto"/>
        <w:ind w:firstLine="420" w:firstLineChars="200"/>
        <w:rPr>
          <w:lang w:val="zh-CN"/>
        </w:rPr>
      </w:pPr>
      <w:r>
        <w:rPr>
          <w:rFonts w:hint="eastAsia"/>
          <w:lang w:val="zh-CN"/>
        </w:rPr>
        <w:t>（</w:t>
      </w:r>
      <w:r>
        <w:rPr>
          <w:rFonts w:hint="eastAsia"/>
        </w:rPr>
        <w:t>5</w:t>
      </w:r>
      <w:r>
        <w:rPr>
          <w:rFonts w:hint="eastAsia"/>
          <w:lang w:val="zh-CN"/>
        </w:rPr>
        <w:t>）投标人在各自地点按规定时间自行实施远程解密其投标文件（</w:t>
      </w:r>
      <w:r>
        <w:rPr>
          <w:rFonts w:hint="eastAsia"/>
        </w:rPr>
        <w:t>投标人使用手机CA证书或投标解密符对电子投标文件进行解密</w:t>
      </w:r>
      <w:r>
        <w:rPr>
          <w:rFonts w:hint="eastAsia"/>
          <w:lang w:val="zh-CN"/>
        </w:rPr>
        <w:t>）；</w:t>
      </w:r>
    </w:p>
    <w:p w14:paraId="43FA28A5">
      <w:pPr>
        <w:spacing w:line="360" w:lineRule="auto"/>
        <w:ind w:firstLine="420" w:firstLineChars="200"/>
        <w:rPr>
          <w:lang w:val="zh-CN"/>
        </w:rPr>
      </w:pPr>
      <w:r>
        <w:rPr>
          <w:rFonts w:hint="eastAsia"/>
          <w:lang w:val="zh-CN"/>
        </w:rPr>
        <w:t>（</w:t>
      </w:r>
      <w:r>
        <w:rPr>
          <w:rFonts w:hint="eastAsia"/>
        </w:rPr>
        <w:t>6</w:t>
      </w:r>
      <w:r>
        <w:rPr>
          <w:rFonts w:hint="eastAsia"/>
          <w:lang w:val="zh-CN"/>
        </w:rPr>
        <w:t>）电子交易平台读取已解密的投标文件的内容（开标环节只对成功提交的电子投标文件进行解密）；</w:t>
      </w:r>
    </w:p>
    <w:p w14:paraId="1F9A7F5E">
      <w:pPr>
        <w:spacing w:line="360" w:lineRule="auto"/>
        <w:ind w:firstLine="420" w:firstLineChars="200"/>
        <w:rPr>
          <w:lang w:val="zh-CN"/>
        </w:rPr>
      </w:pPr>
      <w:r>
        <w:rPr>
          <w:rFonts w:hint="eastAsia"/>
          <w:lang w:val="zh-CN"/>
        </w:rPr>
        <w:t>（</w:t>
      </w:r>
      <w:r>
        <w:rPr>
          <w:rFonts w:hint="eastAsia"/>
        </w:rPr>
        <w:t>7</w:t>
      </w:r>
      <w:r>
        <w:rPr>
          <w:rFonts w:hint="eastAsia"/>
          <w:lang w:val="zh-CN"/>
        </w:rPr>
        <w:t>）公布投标人名称、标段（包）名称、投标保证金的递交情况、投标报价及其他内容，并生成开标记录；</w:t>
      </w:r>
      <w:r>
        <w:rPr>
          <w:rFonts w:hint="eastAsia"/>
        </w:rPr>
        <w:t>若发现投标报价高于招标控制价的退回其投标文件；</w:t>
      </w:r>
    </w:p>
    <w:p w14:paraId="74AA8315">
      <w:pPr>
        <w:spacing w:line="360" w:lineRule="auto"/>
        <w:ind w:firstLine="420" w:firstLineChars="200"/>
        <w:rPr>
          <w:lang w:val="zh-CN"/>
        </w:rPr>
      </w:pPr>
      <w:r>
        <w:rPr>
          <w:rFonts w:hint="eastAsia"/>
          <w:lang w:val="zh-CN"/>
        </w:rPr>
        <w:t>（8）投标人对开标有异议的，应当在开标现场提出，由招标人答复并制作记录。未提出异议的视为认同；</w:t>
      </w:r>
    </w:p>
    <w:p w14:paraId="44AB7E5C">
      <w:pPr>
        <w:spacing w:line="360" w:lineRule="auto"/>
        <w:ind w:firstLine="420" w:firstLineChars="200"/>
        <w:rPr>
          <w:lang w:val="zh-CN"/>
        </w:rPr>
      </w:pPr>
      <w:r>
        <w:rPr>
          <w:rFonts w:hint="eastAsia"/>
          <w:lang w:val="zh-CN"/>
        </w:rPr>
        <w:t>（9）开标会议结束。</w:t>
      </w:r>
    </w:p>
    <w:p w14:paraId="3452A4EB">
      <w:pPr>
        <w:spacing w:line="360" w:lineRule="auto"/>
        <w:ind w:firstLine="420" w:firstLineChars="200"/>
      </w:pPr>
      <w:r>
        <w:rPr>
          <w:rFonts w:hint="eastAsia"/>
        </w:rPr>
        <w:t>5.2.2 在本章相关条款规定的时间内，非因“电子交易平台”原因造成投标文件未解密的，视为投标人撤回投标文件。已解密的投标文件少于三个的，招标失败；已解密的投标文件不少于三个，开标继续进行。</w:t>
      </w:r>
    </w:p>
    <w:p w14:paraId="1EB8D759">
      <w:pPr>
        <w:pStyle w:val="20"/>
        <w:widowControl/>
        <w:spacing w:before="260" w:after="260" w:line="240" w:lineRule="auto"/>
        <w:jc w:val="both"/>
        <w:textAlignment w:val="center"/>
        <w:rPr>
          <w:rFonts w:ascii="黑体" w:hAnsi="黑体" w:eastAsia="黑体" w:cs="黑体"/>
          <w:b w:val="0"/>
          <w:bCs w:val="0"/>
          <w:sz w:val="28"/>
          <w:szCs w:val="28"/>
          <w:lang w:val="zh-CN"/>
        </w:rPr>
      </w:pPr>
      <w:r>
        <w:rPr>
          <w:rFonts w:hint="eastAsia" w:ascii="黑体" w:hAnsi="黑体" w:eastAsia="黑体" w:cs="黑体"/>
          <w:b w:val="0"/>
          <w:bCs w:val="0"/>
          <w:sz w:val="28"/>
          <w:szCs w:val="28"/>
          <w:lang w:val="zh-CN"/>
        </w:rPr>
        <w:t>5.3 开标异议</w:t>
      </w:r>
    </w:p>
    <w:p w14:paraId="25226B6E">
      <w:pPr>
        <w:spacing w:line="360" w:lineRule="auto"/>
        <w:ind w:firstLine="420" w:firstLineChars="200"/>
        <w:rPr>
          <w:lang w:val="zh-CN"/>
        </w:rPr>
      </w:pPr>
      <w:r>
        <w:rPr>
          <w:rFonts w:hint="eastAsia"/>
          <w:lang w:val="zh-CN"/>
        </w:rPr>
        <w:t>5.3.1 投标人对开标有异议的，应当在开标现场提出；招标人当场对异议作出答复，并制作记录。</w:t>
      </w:r>
    </w:p>
    <w:p w14:paraId="10A84AA3">
      <w:pPr>
        <w:spacing w:line="360" w:lineRule="auto"/>
        <w:ind w:firstLine="420" w:firstLineChars="200"/>
        <w:rPr>
          <w:lang w:val="zh-CN"/>
        </w:rPr>
      </w:pPr>
      <w:r>
        <w:rPr>
          <w:rFonts w:hint="eastAsia"/>
          <w:lang w:val="zh-CN"/>
        </w:rPr>
        <w:t>5.3.2本处所称异议是指投标人在开标现场对投标文件提交、投标截止时间、开标程序、投标文件密封、唱标内容、开标记录、唱标次序以及投标人和招标人或者投标人相互之间存在利益冲突的情形等提出的质疑。</w:t>
      </w:r>
    </w:p>
    <w:p w14:paraId="308EFBF6">
      <w:pPr>
        <w:spacing w:line="360" w:lineRule="auto"/>
        <w:ind w:firstLine="420" w:firstLineChars="200"/>
        <w:rPr>
          <w:lang w:val="zh-CN"/>
        </w:rPr>
      </w:pPr>
      <w:r>
        <w:rPr>
          <w:rFonts w:hint="eastAsia"/>
          <w:lang w:val="zh-CN"/>
        </w:rPr>
        <w:t>5.3.3 投标人异议成立的，招标人将及时采取纠正措施，或者提交评标委员会评审确认；投标人异议不成立的，招标人将当场给予解释说明。开标工作人员包括监督人员不应在开标现场对相关投标作出有效或者无效的判断。</w:t>
      </w:r>
    </w:p>
    <w:p w14:paraId="5E2C1CDC">
      <w:pPr>
        <w:pStyle w:val="20"/>
        <w:widowControl/>
        <w:spacing w:before="260" w:after="260" w:line="240" w:lineRule="auto"/>
        <w:jc w:val="both"/>
        <w:textAlignment w:val="center"/>
        <w:rPr>
          <w:rFonts w:ascii="黑体" w:hAnsi="黑体" w:eastAsia="黑体" w:cs="黑体"/>
          <w:b w:val="0"/>
          <w:bCs w:val="0"/>
          <w:sz w:val="28"/>
          <w:szCs w:val="28"/>
          <w:lang w:val="zh-CN"/>
        </w:rPr>
      </w:pPr>
      <w:r>
        <w:rPr>
          <w:rFonts w:hint="eastAsia" w:ascii="黑体" w:hAnsi="黑体" w:eastAsia="黑体" w:cs="黑体"/>
          <w:b w:val="0"/>
          <w:bCs w:val="0"/>
          <w:sz w:val="28"/>
          <w:szCs w:val="28"/>
          <w:lang w:val="zh-CN"/>
        </w:rPr>
        <w:t>5.</w:t>
      </w:r>
      <w:r>
        <w:rPr>
          <w:rFonts w:hint="eastAsia" w:ascii="黑体" w:hAnsi="黑体" w:eastAsia="黑体" w:cs="黑体"/>
          <w:b w:val="0"/>
          <w:bCs w:val="0"/>
          <w:sz w:val="28"/>
          <w:szCs w:val="28"/>
        </w:rPr>
        <w:t>4</w:t>
      </w:r>
      <w:r>
        <w:rPr>
          <w:rFonts w:hint="eastAsia" w:ascii="黑体" w:hAnsi="黑体" w:eastAsia="黑体" w:cs="黑体"/>
          <w:b w:val="0"/>
          <w:bCs w:val="0"/>
          <w:sz w:val="28"/>
          <w:szCs w:val="28"/>
          <w:lang w:val="zh-CN"/>
        </w:rPr>
        <w:t xml:space="preserve"> 特殊情况处理</w:t>
      </w:r>
    </w:p>
    <w:p w14:paraId="4886FD7C">
      <w:pPr>
        <w:spacing w:line="360" w:lineRule="auto"/>
        <w:ind w:firstLine="420" w:firstLineChars="200"/>
      </w:pPr>
      <w:r>
        <w:rPr>
          <w:rFonts w:hint="eastAsia"/>
        </w:rPr>
        <w:t>5.4.1 因“网上开评标系统”故障，开标活动无法正常进行时，招标人将使用“投标备份文件”继续进行开标活动。</w:t>
      </w:r>
    </w:p>
    <w:p w14:paraId="71316161">
      <w:pPr>
        <w:spacing w:line="360" w:lineRule="auto"/>
        <w:ind w:firstLine="420" w:firstLineChars="200"/>
      </w:pPr>
      <w:r>
        <w:rPr>
          <w:rFonts w:hint="eastAsia"/>
        </w:rPr>
        <w:t>“网上开评标系统”故障是指非投标人原因造成所有投标人电子投标文件均无法解密的情形。部分投标文件无法解密的，不适用该条款。</w:t>
      </w:r>
    </w:p>
    <w:p w14:paraId="1AB1E5AA">
      <w:pPr>
        <w:spacing w:line="360" w:lineRule="auto"/>
        <w:ind w:firstLine="420" w:firstLineChars="200"/>
      </w:pPr>
      <w:r>
        <w:rPr>
          <w:rFonts w:hint="eastAsia"/>
        </w:rPr>
        <w:t>5.4.2 因投标人原因造成投标文件在规定的时间内未完成解密的，该投标将被拒绝。</w:t>
      </w:r>
    </w:p>
    <w:p w14:paraId="4D59CCF1">
      <w:pPr>
        <w:spacing w:line="360" w:lineRule="auto"/>
        <w:ind w:firstLine="420" w:firstLineChars="200"/>
      </w:pPr>
      <w:r>
        <w:rPr>
          <w:rFonts w:hint="eastAsia"/>
        </w:rPr>
        <w:t>5.4.3 投标人对开标有异议的，应当在开标现场提出，招标人当场予以答复，并制作记录。任何单位和个人在开标结束后就开标提出的异议或投诉将不予受理。</w:t>
      </w:r>
    </w:p>
    <w:p w14:paraId="67998FA3">
      <w:pPr>
        <w:pStyle w:val="6"/>
        <w:keepNext w:val="0"/>
        <w:keepLines w:val="0"/>
        <w:widowControl/>
        <w:numPr>
          <w:ilvl w:val="0"/>
          <w:numId w:val="2"/>
        </w:numPr>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评标</w:t>
      </w:r>
    </w:p>
    <w:p w14:paraId="7114B561">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6.1 评标委员会</w:t>
      </w:r>
    </w:p>
    <w:p w14:paraId="07292988">
      <w:pPr>
        <w:spacing w:line="360" w:lineRule="auto"/>
        <w:ind w:firstLine="420" w:firstLineChars="200"/>
      </w:pPr>
      <w:r>
        <w:rPr>
          <w:rFonts w:hint="eastAsia"/>
        </w:rPr>
        <w:t>6.1.1 评标由招标人依法组建的评标委员会负责。评标委员会由招标人以及有关技术、经济等方面的专家组成。其中招标人</w:t>
      </w:r>
      <w:r>
        <w:rPr>
          <w:rFonts w:hint="eastAsia"/>
          <w:szCs w:val="21"/>
        </w:rPr>
        <w:t>0人，</w:t>
      </w:r>
      <w:r>
        <w:rPr>
          <w:rFonts w:hint="eastAsia"/>
        </w:rPr>
        <w:t>专家</w:t>
      </w:r>
      <w:r>
        <w:rPr>
          <w:rFonts w:hint="eastAsia"/>
          <w:szCs w:val="21"/>
        </w:rPr>
        <w:t>3</w:t>
      </w:r>
      <w:r>
        <w:rPr>
          <w:rFonts w:hint="eastAsia"/>
        </w:rPr>
        <w:t>人。</w:t>
      </w:r>
    </w:p>
    <w:p w14:paraId="6E32FCCB">
      <w:pPr>
        <w:spacing w:line="360" w:lineRule="auto"/>
        <w:ind w:firstLine="420" w:firstLineChars="200"/>
      </w:pPr>
      <w:r>
        <w:rPr>
          <w:rFonts w:hint="eastAsia"/>
        </w:rPr>
        <w:t>6.1.2 评标委员会成员有下列情形之一的，应当回避：</w:t>
      </w:r>
    </w:p>
    <w:p w14:paraId="50367013">
      <w:pPr>
        <w:spacing w:line="360" w:lineRule="auto"/>
        <w:ind w:firstLine="420" w:firstLineChars="200"/>
      </w:pPr>
      <w:r>
        <w:rPr>
          <w:rFonts w:hint="eastAsia"/>
        </w:rPr>
        <w:t>（1）投标人或投标人主要负责人的近亲属；</w:t>
      </w:r>
    </w:p>
    <w:p w14:paraId="7973E9B9">
      <w:pPr>
        <w:spacing w:line="360" w:lineRule="auto"/>
        <w:ind w:firstLine="420" w:firstLineChars="200"/>
      </w:pPr>
      <w:r>
        <w:rPr>
          <w:rFonts w:hint="eastAsia"/>
        </w:rPr>
        <w:t>（2）项目主管部门或者行政监督部门的人员；</w:t>
      </w:r>
    </w:p>
    <w:p w14:paraId="46E6660C">
      <w:pPr>
        <w:spacing w:line="360" w:lineRule="auto"/>
        <w:ind w:firstLine="420" w:firstLineChars="200"/>
      </w:pPr>
      <w:r>
        <w:rPr>
          <w:rFonts w:hint="eastAsia"/>
        </w:rPr>
        <w:t>（3）与投标人有经济利益关系或其他利害关系，可能影响对投标公正评审的；</w:t>
      </w:r>
    </w:p>
    <w:p w14:paraId="53C86270">
      <w:pPr>
        <w:spacing w:line="360" w:lineRule="auto"/>
        <w:ind w:firstLine="420" w:firstLineChars="200"/>
      </w:pPr>
      <w:r>
        <w:rPr>
          <w:rFonts w:hint="eastAsia"/>
        </w:rPr>
        <w:t>（4）曾因在招标、评标以及其他与招标投标有关活动中从事违法行为而受过行政处罚或刑事处罚的。</w:t>
      </w:r>
    </w:p>
    <w:p w14:paraId="1D50F37A">
      <w:pPr>
        <w:spacing w:line="360" w:lineRule="auto"/>
        <w:ind w:firstLine="420" w:firstLineChars="200"/>
      </w:pPr>
      <w:r>
        <w:rPr>
          <w:rFonts w:hint="eastAsia"/>
        </w:rPr>
        <w:t>（5）法律法规要求应当回避的其他人员。</w:t>
      </w:r>
    </w:p>
    <w:p w14:paraId="327A363C">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6.2 评标原则</w:t>
      </w:r>
      <w:r>
        <w:rPr>
          <w:rFonts w:hint="eastAsia" w:ascii="黑体" w:hAnsi="黑体" w:eastAsia="黑体" w:cs="黑体"/>
          <w:b w:val="0"/>
          <w:bCs w:val="0"/>
          <w:sz w:val="28"/>
          <w:szCs w:val="28"/>
        </w:rPr>
        <w:tab/>
      </w:r>
    </w:p>
    <w:p w14:paraId="35BC50CF">
      <w:pPr>
        <w:spacing w:line="360" w:lineRule="auto"/>
        <w:ind w:firstLine="420" w:firstLineChars="200"/>
      </w:pPr>
      <w:r>
        <w:rPr>
          <w:rFonts w:hint="eastAsia"/>
        </w:rPr>
        <w:t>6.2.1 评标活动遵循公平、公正、科学和择优的原则。</w:t>
      </w:r>
    </w:p>
    <w:p w14:paraId="6D9ACAA3">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6.3 评标</w:t>
      </w:r>
    </w:p>
    <w:p w14:paraId="58AEC7D7">
      <w:pPr>
        <w:spacing w:line="360" w:lineRule="auto"/>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p w14:paraId="659643EC">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6.4 无效标条款</w:t>
      </w:r>
    </w:p>
    <w:p w14:paraId="7A46D627">
      <w:pPr>
        <w:spacing w:line="360" w:lineRule="auto"/>
        <w:ind w:firstLine="420" w:firstLineChars="200"/>
      </w:pPr>
      <w:r>
        <w:rPr>
          <w:rFonts w:hint="eastAsia"/>
        </w:rPr>
        <w:t>投标文件出现下列情况之一的，将作为无效投标文件处理：</w:t>
      </w:r>
    </w:p>
    <w:p w14:paraId="352EB596">
      <w:pPr>
        <w:spacing w:line="360" w:lineRule="auto"/>
        <w:ind w:firstLine="420" w:firstLineChars="200"/>
      </w:pPr>
      <w:r>
        <w:rPr>
          <w:rFonts w:hint="eastAsia"/>
        </w:rPr>
        <w:t>1、投标文件中的投标函未加盖投标人的公章；</w:t>
      </w:r>
    </w:p>
    <w:p w14:paraId="6E4AF528">
      <w:pPr>
        <w:spacing w:line="360" w:lineRule="auto"/>
        <w:ind w:firstLine="420" w:firstLineChars="200"/>
      </w:pPr>
      <w:r>
        <w:rPr>
          <w:rFonts w:hint="eastAsia"/>
        </w:rPr>
        <w:t>2、投标文件中的投标函未加盖企业法定代表人（或企业法定代表人委托代理人）印章（或签字）的；</w:t>
      </w:r>
    </w:p>
    <w:p w14:paraId="68D5847E">
      <w:pPr>
        <w:spacing w:line="360" w:lineRule="auto"/>
        <w:ind w:firstLine="420" w:firstLineChars="200"/>
      </w:pPr>
      <w:r>
        <w:rPr>
          <w:rFonts w:hint="eastAsia"/>
        </w:rPr>
        <w:t xml:space="preserve">3、如投标函加盖企业法定代表人委托代理人印章（或签字）的，企业法定代表人委托代理人没有合法、有效的委托书的； </w:t>
      </w:r>
    </w:p>
    <w:p w14:paraId="7C05C6EC">
      <w:pPr>
        <w:spacing w:line="360" w:lineRule="auto"/>
        <w:ind w:firstLine="420" w:firstLineChars="200"/>
      </w:pPr>
      <w:r>
        <w:rPr>
          <w:rFonts w:hint="eastAsia"/>
        </w:rPr>
        <w:t xml:space="preserve">4、投标人资格条件不符合国家有关规定的或招标文件要求的或不在有效期内的； </w:t>
      </w:r>
    </w:p>
    <w:p w14:paraId="14C7F7F6">
      <w:pPr>
        <w:spacing w:line="360" w:lineRule="auto"/>
        <w:ind w:firstLine="420" w:firstLineChars="200"/>
      </w:pPr>
      <w:r>
        <w:rPr>
          <w:rFonts w:hint="eastAsia"/>
        </w:rPr>
        <w:t xml:space="preserve">5、投标报价低于项目成本或者高于招标文件设定的最高投标限价； </w:t>
      </w:r>
    </w:p>
    <w:p w14:paraId="74D738E8">
      <w:pPr>
        <w:spacing w:line="360" w:lineRule="auto"/>
        <w:ind w:firstLine="420" w:firstLineChars="200"/>
      </w:pPr>
      <w:r>
        <w:rPr>
          <w:rFonts w:hint="eastAsia"/>
        </w:rPr>
        <w:t xml:space="preserve">6、同一投标人提交两个及以上不同的投标文件或者投标报价，但招标文件要求提交备选投标的除外； </w:t>
      </w:r>
    </w:p>
    <w:p w14:paraId="0DB1A980">
      <w:pPr>
        <w:spacing w:line="360" w:lineRule="auto"/>
        <w:ind w:firstLine="420" w:firstLineChars="200"/>
      </w:pPr>
      <w:r>
        <w:rPr>
          <w:rFonts w:hint="eastAsia"/>
        </w:rPr>
        <w:t>7、组成联合体投标未提供联合体各方共同投标协议的；</w:t>
      </w:r>
    </w:p>
    <w:p w14:paraId="6296F399">
      <w:pPr>
        <w:spacing w:line="360" w:lineRule="auto"/>
        <w:ind w:firstLine="420" w:firstLineChars="200"/>
      </w:pPr>
      <w:r>
        <w:rPr>
          <w:rFonts w:hint="eastAsia"/>
        </w:rPr>
        <w:t>8、在同一招标项目中，联合体成员以自己名义单独投标或者参加其他联合体投标的；</w:t>
      </w:r>
    </w:p>
    <w:p w14:paraId="15FF8CB1">
      <w:pPr>
        <w:spacing w:line="360" w:lineRule="auto"/>
        <w:ind w:firstLine="420" w:firstLineChars="200"/>
      </w:pPr>
      <w:r>
        <w:rPr>
          <w:rFonts w:hint="eastAsia"/>
        </w:rPr>
        <w:t>9、未按招标文件要求提供投标保证金的；</w:t>
      </w:r>
    </w:p>
    <w:p w14:paraId="542E509A">
      <w:pPr>
        <w:spacing w:line="360" w:lineRule="auto"/>
        <w:ind w:firstLine="420" w:firstLineChars="200"/>
      </w:pPr>
      <w:r>
        <w:rPr>
          <w:rFonts w:hint="eastAsia"/>
        </w:rPr>
        <w:t>10、投标文件载明的招标项目完成期限超过招标文件规定的期限的，或交货期达不到招标文件规定期限的要求；</w:t>
      </w:r>
    </w:p>
    <w:p w14:paraId="703BD761">
      <w:pPr>
        <w:spacing w:line="360" w:lineRule="auto"/>
        <w:ind w:firstLine="420" w:firstLineChars="200"/>
      </w:pPr>
      <w:r>
        <w:rPr>
          <w:rFonts w:hint="eastAsia"/>
        </w:rPr>
        <w:t>11、投标文件提出了不能满足招标文件要求或招标人不能接受的项目价款结算和支付办法的；</w:t>
      </w:r>
    </w:p>
    <w:p w14:paraId="0505C936">
      <w:pPr>
        <w:spacing w:line="360" w:lineRule="auto"/>
        <w:ind w:firstLine="420" w:firstLineChars="200"/>
      </w:pPr>
      <w:r>
        <w:rPr>
          <w:rFonts w:hint="eastAsia"/>
        </w:rPr>
        <w:t>12、未按招标文件要求提供电子投标文件，或者电子投标文件未能解密的，因招投标系统故障因素导致所有投标电子投标文件均不能解密的除外；</w:t>
      </w:r>
    </w:p>
    <w:p w14:paraId="0D976FB9">
      <w:pPr>
        <w:spacing w:line="360" w:lineRule="auto"/>
        <w:ind w:firstLine="420" w:firstLineChars="200"/>
      </w:pPr>
      <w:r>
        <w:rPr>
          <w:rFonts w:hint="eastAsia"/>
        </w:rPr>
        <w:t>13、不同投标人的投标文件以及投标文件制作过程出现了评标委员会认为不应当雷同的情况的；</w:t>
      </w:r>
    </w:p>
    <w:p w14:paraId="0EC8DA56">
      <w:pPr>
        <w:spacing w:line="360" w:lineRule="auto"/>
        <w:ind w:firstLine="420" w:firstLineChars="200"/>
      </w:pPr>
      <w:r>
        <w:rPr>
          <w:rFonts w:hint="eastAsia"/>
        </w:rPr>
        <w:t>14、以他人的名义投标、串通投标、以行贿手段谋取中标或者以其他弄虚作假方式投标的；</w:t>
      </w:r>
    </w:p>
    <w:p w14:paraId="617C027C">
      <w:pPr>
        <w:spacing w:line="360" w:lineRule="auto"/>
        <w:ind w:firstLine="420" w:firstLineChars="200"/>
      </w:pPr>
      <w:r>
        <w:rPr>
          <w:rFonts w:hint="eastAsia"/>
        </w:rPr>
        <w:t>15、未按招标文件规定的格式填写，未按投标文件编制要求编写，内容不全或关键字迹模糊、无法辨认的；</w:t>
      </w:r>
    </w:p>
    <w:p w14:paraId="0280D871">
      <w:pPr>
        <w:spacing w:line="360" w:lineRule="auto"/>
        <w:ind w:firstLine="420" w:firstLineChars="200"/>
      </w:pPr>
      <w:r>
        <w:rPr>
          <w:rFonts w:hint="eastAsia"/>
        </w:rPr>
        <w:t>16、未对招标文件中有关供货期限、投标有效期、质量要求、技术标准和要求、招标范围等实质性内容作出响应的；</w:t>
      </w:r>
    </w:p>
    <w:p w14:paraId="1739C187">
      <w:pPr>
        <w:spacing w:line="360" w:lineRule="auto"/>
        <w:ind w:firstLine="420" w:firstLineChars="200"/>
      </w:pPr>
      <w:r>
        <w:rPr>
          <w:rFonts w:hint="eastAsia"/>
        </w:rPr>
        <w:t>17、不按评标委员会要求澄清、说明或补正的；</w:t>
      </w:r>
    </w:p>
    <w:p w14:paraId="3C8F3BD5">
      <w:pPr>
        <w:spacing w:line="360" w:lineRule="auto"/>
        <w:ind w:firstLine="420" w:firstLineChars="200"/>
      </w:pPr>
      <w:r>
        <w:rPr>
          <w:rFonts w:hint="eastAsia"/>
        </w:rPr>
        <w:t>18、明显不符合技术规范、技术标准的要求的；</w:t>
      </w:r>
    </w:p>
    <w:p w14:paraId="5D2E86CE">
      <w:pPr>
        <w:spacing w:line="360" w:lineRule="auto"/>
        <w:ind w:firstLine="420" w:firstLineChars="200"/>
      </w:pPr>
      <w:r>
        <w:rPr>
          <w:rFonts w:hint="eastAsia"/>
        </w:rPr>
        <w:t>19、投标人的电子投标文件制作机器码系统无法识别的；</w:t>
      </w:r>
    </w:p>
    <w:p w14:paraId="3C03A284">
      <w:pPr>
        <w:spacing w:line="360" w:lineRule="auto"/>
        <w:ind w:firstLine="420" w:firstLineChars="200"/>
      </w:pPr>
      <w:r>
        <w:rPr>
          <w:rFonts w:hint="eastAsia"/>
        </w:rPr>
        <w:t>20、不同投标人的电子投标文件制作机器码出现一致的；</w:t>
      </w:r>
    </w:p>
    <w:p w14:paraId="7BE35542">
      <w:pPr>
        <w:spacing w:line="360" w:lineRule="auto"/>
        <w:ind w:firstLine="420" w:firstLineChars="200"/>
      </w:pPr>
      <w:r>
        <w:rPr>
          <w:rFonts w:hint="eastAsia"/>
        </w:rPr>
        <w:t>21、投标人投标文件中提供的资格审查资料非有效原件彩色扫描件（或电子证照），关键信息不齐全、不清晰可辨（钢印除外）；</w:t>
      </w:r>
    </w:p>
    <w:p w14:paraId="785ECDE6">
      <w:pPr>
        <w:spacing w:line="360" w:lineRule="auto"/>
        <w:ind w:firstLine="420" w:firstLineChars="200"/>
      </w:pPr>
      <w:r>
        <w:rPr>
          <w:rFonts w:hint="eastAsia"/>
        </w:rPr>
        <w:t xml:space="preserve">22、不符合招标文件有关暗标要求的（如有暗标要求的）； </w:t>
      </w:r>
    </w:p>
    <w:p w14:paraId="1F00D963">
      <w:pPr>
        <w:spacing w:line="360" w:lineRule="auto"/>
        <w:ind w:firstLine="420" w:firstLineChars="200"/>
      </w:pPr>
      <w:r>
        <w:rPr>
          <w:rFonts w:hint="eastAsia"/>
        </w:rPr>
        <w:t>23、投标文件投标函中填写的投标报价与开标一览表中不一致的；</w:t>
      </w:r>
    </w:p>
    <w:p w14:paraId="131CFB8A">
      <w:pPr>
        <w:pStyle w:val="26"/>
        <w:spacing w:line="360" w:lineRule="auto"/>
        <w:ind w:left="0" w:leftChars="0"/>
        <w:rPr>
          <w:rFonts w:ascii="Times New Roman" w:eastAsiaTheme="minorEastAsia"/>
          <w:b w:val="0"/>
          <w:bCs w:val="0"/>
        </w:rPr>
      </w:pPr>
      <w:r>
        <w:rPr>
          <w:rFonts w:ascii="Times New Roman" w:eastAsiaTheme="minorEastAsia"/>
          <w:b w:val="0"/>
          <w:bCs w:val="0"/>
        </w:rPr>
        <w:t>24、投标人递交两份或多份内容不同的投标文件，或在一份投标文件中对同一招标货物报有两个或多个报价，且未声明哪一个为最终报价的，按招标文件规定提交备选投标方案的除外；</w:t>
      </w:r>
    </w:p>
    <w:p w14:paraId="1537D2CF">
      <w:pPr>
        <w:pStyle w:val="26"/>
        <w:spacing w:line="360" w:lineRule="auto"/>
        <w:ind w:left="0" w:leftChars="0"/>
        <w:rPr>
          <w:rFonts w:ascii="Times New Roman" w:eastAsiaTheme="minorEastAsia"/>
          <w:b w:val="0"/>
          <w:bCs w:val="0"/>
        </w:rPr>
      </w:pPr>
      <w:r>
        <w:rPr>
          <w:rFonts w:ascii="Times New Roman" w:eastAsiaTheme="minorEastAsia"/>
          <w:b w:val="0"/>
          <w:bCs w:val="0"/>
        </w:rPr>
        <w:t>25、与招标文件提供的货物清单中的清单名称、单位、数量及备注不同的，货物规格及特征要求低于招标要求的；</w:t>
      </w:r>
    </w:p>
    <w:p w14:paraId="10F75B7C">
      <w:pPr>
        <w:pStyle w:val="26"/>
        <w:spacing w:line="360" w:lineRule="auto"/>
        <w:ind w:left="0" w:leftChars="0"/>
        <w:rPr>
          <w:rFonts w:ascii="Times New Roman" w:eastAsiaTheme="minorEastAsia"/>
          <w:b w:val="0"/>
          <w:bCs w:val="0"/>
        </w:rPr>
      </w:pPr>
      <w:r>
        <w:rPr>
          <w:rFonts w:ascii="Times New Roman" w:eastAsiaTheme="minorEastAsia"/>
          <w:b w:val="0"/>
          <w:bCs w:val="0"/>
        </w:rPr>
        <w:t>26、投标文件载明的货物包装方式、检验标准和方法等不符合招标文件要求的；</w:t>
      </w:r>
    </w:p>
    <w:p w14:paraId="7AD0C396">
      <w:pPr>
        <w:pStyle w:val="26"/>
        <w:spacing w:line="360" w:lineRule="auto"/>
        <w:ind w:left="0" w:leftChars="0"/>
        <w:rPr>
          <w:rFonts w:ascii="Times New Roman" w:eastAsiaTheme="minorEastAsia"/>
          <w:b w:val="0"/>
          <w:bCs w:val="0"/>
        </w:rPr>
      </w:pPr>
      <w:r>
        <w:rPr>
          <w:rFonts w:ascii="Times New Roman" w:eastAsiaTheme="minorEastAsia"/>
          <w:b w:val="0"/>
          <w:bCs w:val="0"/>
        </w:rPr>
        <w:t>27、招标文件提出的工程验收、计量、价款结算和付款方式不能满足招标文件要求或招标人不能接受。</w:t>
      </w:r>
    </w:p>
    <w:p w14:paraId="36FF6F60">
      <w:pPr>
        <w:spacing w:line="360" w:lineRule="auto"/>
        <w:ind w:firstLine="420" w:firstLineChars="200"/>
      </w:pPr>
      <w:r>
        <w:rPr>
          <w:rFonts w:hint="eastAsia"/>
        </w:rPr>
        <w:t>凡本招标文件未明确标明无效标的，评标委员会不得作为判定无效标的依据，评标委员会也不得以不符合招标文件中规定的其他实质性要求作为判定无效标的依据。</w:t>
      </w:r>
    </w:p>
    <w:p w14:paraId="4836681E">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6.5 串通投标和弄虚作假行为认定</w:t>
      </w:r>
    </w:p>
    <w:p w14:paraId="04DE1D9A">
      <w:pPr>
        <w:spacing w:line="360" w:lineRule="auto"/>
        <w:ind w:firstLine="420" w:firstLineChars="200"/>
      </w:pPr>
      <w:r>
        <w:rPr>
          <w:rFonts w:hint="eastAsia"/>
        </w:rPr>
        <w:t>按照《中华人民共和国招标投标法》、《中华人民共和国招标投标法实施条例》、《江苏省招标投标条例》等法律法规认定。</w:t>
      </w:r>
    </w:p>
    <w:p w14:paraId="44EEF40A">
      <w:pPr>
        <w:spacing w:line="360" w:lineRule="auto"/>
        <w:ind w:firstLine="422" w:firstLineChars="200"/>
        <w:rPr>
          <w:b/>
          <w:bCs/>
        </w:rPr>
      </w:pPr>
      <w:r>
        <w:rPr>
          <w:rFonts w:hint="eastAsia"/>
          <w:b/>
          <w:bCs/>
        </w:rPr>
        <w:t>评标委员会在评标时，发现有6.5条款行为的，应当否决其投标。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14:paraId="7C4AF19F">
      <w:pPr>
        <w:spacing w:line="360" w:lineRule="auto"/>
        <w:ind w:firstLine="422" w:firstLineChars="200"/>
        <w:rPr>
          <w:b/>
          <w:bCs/>
        </w:rPr>
      </w:pPr>
      <w:r>
        <w:rPr>
          <w:rFonts w:hint="eastAsia"/>
          <w:b/>
          <w:bCs/>
        </w:rPr>
        <w:t>若投标人被评标委员会以上述6.5条款否决投标的，按照招标文件规定对其进行处罚，构成犯罪的由相关行政部门处罚。投标人同一天参加本市多个项目投标的，只要在其他任一项目上被以6.5条款否决投标的，本项目即取消其中标资格。</w:t>
      </w:r>
    </w:p>
    <w:p w14:paraId="34F0C196">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6.6 中标候选人公示</w:t>
      </w:r>
    </w:p>
    <w:p w14:paraId="09815F3B">
      <w:pPr>
        <w:spacing w:line="360" w:lineRule="auto"/>
        <w:ind w:firstLine="420" w:firstLineChars="200"/>
      </w:pPr>
      <w:r>
        <w:rPr>
          <w:rFonts w:hint="eastAsia"/>
        </w:rPr>
        <w:t>6.6.1 招标人在收到评标报告之日起3日内在本招标项目招标公告发布的同一媒介发布中标候选人公示，公示期不少于3日，公示期无异议后，直接授予排名第1的中标候选人中标通知书，不再单独发布中标结果公示。</w:t>
      </w:r>
    </w:p>
    <w:p w14:paraId="2560AB3E">
      <w:pPr>
        <w:spacing w:line="360" w:lineRule="auto"/>
        <w:ind w:firstLine="420" w:firstLineChars="200"/>
        <w:rPr>
          <w:rFonts w:ascii="新宋体" w:hAnsi="新宋体" w:eastAsia="新宋体"/>
          <w:b/>
        </w:rPr>
      </w:pPr>
      <w:r>
        <w:rPr>
          <w:rFonts w:hint="eastAsia"/>
        </w:rPr>
        <w:t>6.6.2 投标人或者其他利害关系人对评标结果有异议的，应当在公示期间提出。招标人自收到异议之日起3日内作出答复。对招标人答复不满意或招标人拒不答复的，投标人可按照本章第9.5条的规定程序向有关行政监督部门投诉。</w:t>
      </w:r>
    </w:p>
    <w:p w14:paraId="3D79D22C">
      <w:pPr>
        <w:pStyle w:val="6"/>
        <w:keepNext w:val="0"/>
        <w:keepLines w:val="0"/>
        <w:widowControl/>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7</w:t>
      </w:r>
      <w:r>
        <w:rPr>
          <w:rFonts w:hint="eastAsia" w:ascii="Times New Roman" w:hAnsi="Times New Roman" w:eastAsia="黑体"/>
          <w:kern w:val="28"/>
          <w:sz w:val="32"/>
          <w:szCs w:val="32"/>
        </w:rPr>
        <w:t xml:space="preserve">. </w:t>
      </w:r>
      <w:r>
        <w:rPr>
          <w:rFonts w:ascii="Times New Roman" w:hAnsi="Times New Roman" w:eastAsia="黑体"/>
          <w:kern w:val="28"/>
          <w:sz w:val="32"/>
          <w:szCs w:val="32"/>
        </w:rPr>
        <w:t>合同授予</w:t>
      </w:r>
    </w:p>
    <w:p w14:paraId="20471A32">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7.1 定标方式</w:t>
      </w:r>
    </w:p>
    <w:p w14:paraId="00846AFE">
      <w:pPr>
        <w:spacing w:line="360" w:lineRule="auto"/>
        <w:ind w:firstLine="420" w:firstLineChars="200"/>
      </w:pPr>
      <w:r>
        <w:rPr>
          <w:rFonts w:hint="eastAsia"/>
        </w:rPr>
        <w:t>招标人或招标人授权的评标委员会依法确定中标候选人，招标人应当确定排名第一的中标候选人为中标人。排名第一的中标候选人放弃中标，或因不可抗力提出不能履行合同，或者被查实存在影响中标结果的违法行为等情形，不符合中标条件的，招标人可以按照评标委员会提出的中标候选人名单排序依次确定其他中标候选人为中标人，也可以重新招标。</w:t>
      </w:r>
    </w:p>
    <w:p w14:paraId="15F2952B">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7.2 中标通知及中标结果公告</w:t>
      </w:r>
    </w:p>
    <w:p w14:paraId="42E871FA">
      <w:pPr>
        <w:spacing w:line="360" w:lineRule="auto"/>
        <w:ind w:firstLine="420" w:firstLineChars="200"/>
      </w:pPr>
      <w:r>
        <w:rPr>
          <w:rFonts w:hint="eastAsia"/>
        </w:rPr>
        <w:t>中标候选人公示期满无异议或投诉的，直接授予排名第1的中标候选人中标通知书，不再单独发布中标结果公示，未中标的投标人自行查看相关信息。</w:t>
      </w:r>
    </w:p>
    <w:p w14:paraId="709845E0">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7.3 履约担保</w:t>
      </w:r>
    </w:p>
    <w:p w14:paraId="178E7104">
      <w:pPr>
        <w:spacing w:line="360" w:lineRule="auto"/>
        <w:ind w:firstLine="420" w:firstLineChars="200"/>
      </w:pPr>
      <w:r>
        <w:rPr>
          <w:rFonts w:hint="eastAsia"/>
        </w:rPr>
        <w:t>7.3.1 本项目履约保证金为</w:t>
      </w:r>
      <w:r>
        <w:rPr>
          <w:rFonts w:hint="eastAsia" w:ascii="宋体" w:hAnsi="宋体"/>
          <w:b/>
          <w:bCs/>
          <w:szCs w:val="21"/>
        </w:rPr>
        <w:t>中标价的10%</w:t>
      </w:r>
      <w:r>
        <w:rPr>
          <w:rFonts w:hint="eastAsia"/>
        </w:rPr>
        <w:t>，投标人在收到中标通知书后，须在7日内向招标人足额提交履约保证金，否则招标人可以取消其中标资格，给招标人造成损失超过投标保证金数额的，中标人还应当对超过部分予以赔偿。联合体投标的，其投标保证金由牵头人递交，并应符合有关规定。</w:t>
      </w:r>
    </w:p>
    <w:p w14:paraId="3FF9A027">
      <w:pPr>
        <w:spacing w:line="360" w:lineRule="auto"/>
        <w:ind w:firstLine="422" w:firstLineChars="200"/>
        <w:rPr>
          <w:b/>
          <w:bCs/>
        </w:rPr>
      </w:pPr>
      <w:r>
        <w:rPr>
          <w:rFonts w:hint="eastAsia"/>
          <w:b/>
          <w:bCs/>
        </w:rPr>
        <w:t>对信用服务机构依据《江苏省企业信用评价指引（试行）》（苏信用办〔2021〕17 号）评定为A AA级及以上的投标人免交50%的履约保证金，合同签订前需提供经市发展改革委（市信用办）备案的第三方信用报告原件彩色扫描件，且信用报告概述页等内容通过“信用盐城网”可查证。以联合体形式投标的，需牵头单位提供 AAA及以上第三方信用报告，方可免交50%的履约保证金。</w:t>
      </w:r>
    </w:p>
    <w:p w14:paraId="4FD1F75C">
      <w:pPr>
        <w:spacing w:line="360" w:lineRule="auto"/>
        <w:ind w:firstLine="420" w:firstLineChars="200"/>
      </w:pPr>
      <w:r>
        <w:rPr>
          <w:rFonts w:hint="eastAsia"/>
        </w:rPr>
        <w:t>7.3.2 履约保证金的形式：现金或履约担保或投标人基本账户开户行出具的保函或保险公司保险单，具体形式由投标人自主选择，与此产生的有关费用由中标人承担，格式详见招标文件附件《履约担保格式》。</w:t>
      </w:r>
    </w:p>
    <w:p w14:paraId="40DB3A4C">
      <w:pPr>
        <w:spacing w:line="360" w:lineRule="auto"/>
        <w:ind w:firstLine="420" w:firstLineChars="200"/>
      </w:pPr>
      <w:r>
        <w:rPr>
          <w:rFonts w:hint="eastAsia"/>
        </w:rPr>
        <w:t>7.3.3 履约保证金的期限：与合同工期同步，如实际工期超过合同工期，则延长履约保证金的期限覆盖实际工期。</w:t>
      </w:r>
    </w:p>
    <w:p w14:paraId="662728E2">
      <w:pPr>
        <w:spacing w:line="360" w:lineRule="auto"/>
        <w:ind w:firstLine="420" w:firstLineChars="200"/>
      </w:pPr>
      <w:r>
        <w:rPr>
          <w:rFonts w:hint="eastAsia"/>
        </w:rPr>
        <w:t>7.3.4 履约保证金的退还：履约保证金在</w:t>
      </w:r>
      <w:r>
        <w:rPr>
          <w:rFonts w:hint="eastAsia" w:ascii="宋体" w:hAnsi="宋体"/>
          <w:b/>
          <w:bCs/>
          <w:szCs w:val="21"/>
          <w:u w:val="single"/>
        </w:rPr>
        <w:t>项目交付并验收合格后且无违约情况方可无息退还。</w:t>
      </w:r>
      <w:r>
        <w:rPr>
          <w:rFonts w:hint="eastAsia"/>
        </w:rPr>
        <w:t>以现金形式缴纳的履约保证金，退还至投标人的法人基本存款账户；以保函或保险公司保险单形式缴纳的履约保证金按相关协议执行，无需办理退款手续。</w:t>
      </w:r>
    </w:p>
    <w:p w14:paraId="18674314">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7.4 签订合同</w:t>
      </w:r>
    </w:p>
    <w:p w14:paraId="7ACE9F8B">
      <w:pPr>
        <w:spacing w:line="360" w:lineRule="auto"/>
        <w:ind w:firstLine="420" w:firstLineChars="200"/>
      </w:pPr>
      <w:r>
        <w:rPr>
          <w:rFonts w:hint="eastAsia"/>
        </w:rPr>
        <w:t>7.4.1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233C5044">
      <w:pPr>
        <w:spacing w:line="360" w:lineRule="auto"/>
        <w:ind w:firstLine="420" w:firstLineChars="200"/>
      </w:pPr>
      <w:r>
        <w:rPr>
          <w:rFonts w:hint="eastAsia"/>
        </w:rPr>
        <w:t>7.4.2 公示的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也可以重新招标。</w:t>
      </w:r>
    </w:p>
    <w:p w14:paraId="270101B7">
      <w:pPr>
        <w:spacing w:line="360" w:lineRule="auto"/>
        <w:ind w:firstLine="420" w:firstLineChars="200"/>
      </w:pPr>
      <w:r>
        <w:rPr>
          <w:rFonts w:hint="eastAsia"/>
        </w:rPr>
        <w:t>除上述情形外，其他因存在评委评审或计算错误，导致第一中标候选人排名发生变化的，经复议确认后可重新公示中标候选人。（评标办法中约定不得调整的有关数值除外）</w:t>
      </w:r>
    </w:p>
    <w:p w14:paraId="13F299DA">
      <w:pPr>
        <w:spacing w:line="360" w:lineRule="auto"/>
        <w:ind w:firstLine="420" w:firstLineChars="200"/>
      </w:pPr>
      <w:r>
        <w:rPr>
          <w:rFonts w:hint="eastAsia"/>
        </w:rPr>
        <w:t>投标人存在串通投标、以他人名义投标、弄虚作假等违法违规行为，或者无正当理由放弃投标、中标资格，造成项目招标失败的，不得参加该项目重新招标的投标。</w:t>
      </w:r>
    </w:p>
    <w:p w14:paraId="261D218A">
      <w:pPr>
        <w:spacing w:line="360" w:lineRule="auto"/>
        <w:ind w:firstLine="420" w:firstLineChars="200"/>
      </w:pPr>
      <w:r>
        <w:rPr>
          <w:rFonts w:hint="eastAsia"/>
        </w:rPr>
        <w:t>7.4.3 发出中标通知书后，招标人无正当理由拒签合同的，由有关行政监督部门给予警告，责令改正。同时招标人向中标人退还投标保证金；给中标人造成损失的，还应当赔偿损失。</w:t>
      </w:r>
    </w:p>
    <w:p w14:paraId="115AC272">
      <w:pPr>
        <w:pStyle w:val="6"/>
        <w:keepNext w:val="0"/>
        <w:keepLines w:val="0"/>
        <w:widowControl/>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8</w:t>
      </w:r>
      <w:r>
        <w:rPr>
          <w:rFonts w:hint="eastAsia" w:ascii="Times New Roman" w:hAnsi="Times New Roman" w:eastAsia="黑体"/>
          <w:kern w:val="28"/>
          <w:sz w:val="32"/>
          <w:szCs w:val="32"/>
        </w:rPr>
        <w:t xml:space="preserve">. </w:t>
      </w:r>
      <w:r>
        <w:rPr>
          <w:rFonts w:ascii="Times New Roman" w:hAnsi="Times New Roman" w:eastAsia="黑体"/>
          <w:kern w:val="28"/>
          <w:sz w:val="32"/>
          <w:szCs w:val="32"/>
        </w:rPr>
        <w:t>重新招标与不再招标</w:t>
      </w:r>
    </w:p>
    <w:p w14:paraId="2888694A">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8.1 重新招标</w:t>
      </w:r>
    </w:p>
    <w:p w14:paraId="1592482F">
      <w:pPr>
        <w:spacing w:line="360" w:lineRule="auto"/>
        <w:ind w:firstLine="420" w:firstLineChars="200"/>
      </w:pPr>
      <w:r>
        <w:rPr>
          <w:rFonts w:hint="eastAsia"/>
        </w:rPr>
        <w:t>有下列情形之一的，招标人应当采取改进措施后重新招标：</w:t>
      </w:r>
    </w:p>
    <w:p w14:paraId="0738BD7B">
      <w:pPr>
        <w:spacing w:line="360" w:lineRule="auto"/>
        <w:ind w:firstLine="420" w:firstLineChars="200"/>
      </w:pPr>
      <w:r>
        <w:rPr>
          <w:rFonts w:hint="eastAsia"/>
        </w:rPr>
        <w:t>（1）获取招标文件的潜在投标人少于3个的；</w:t>
      </w:r>
    </w:p>
    <w:p w14:paraId="1E08002C">
      <w:pPr>
        <w:spacing w:line="360" w:lineRule="auto"/>
        <w:ind w:firstLine="420" w:firstLineChars="200"/>
      </w:pPr>
      <w:r>
        <w:rPr>
          <w:rFonts w:hint="eastAsia"/>
        </w:rPr>
        <w:t>（2）投标人少于3个的。</w:t>
      </w:r>
    </w:p>
    <w:p w14:paraId="7CD7C6A9">
      <w:pPr>
        <w:spacing w:line="360" w:lineRule="auto"/>
        <w:ind w:firstLine="420" w:firstLineChars="200"/>
      </w:pPr>
      <w:r>
        <w:rPr>
          <w:rFonts w:hint="eastAsia"/>
        </w:rPr>
        <w:t>（3）招标文件规定的其他情形。</w:t>
      </w:r>
    </w:p>
    <w:p w14:paraId="4EFA726C">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8.2 不再招标</w:t>
      </w:r>
    </w:p>
    <w:p w14:paraId="7B4C6BBD">
      <w:pPr>
        <w:spacing w:line="360" w:lineRule="auto"/>
        <w:ind w:firstLine="420" w:firstLineChars="200"/>
      </w:pPr>
      <w:r>
        <w:rPr>
          <w:rFonts w:hint="eastAsia"/>
        </w:rPr>
        <w:t>重新招标后，仍存在8.1条情形的，报经原审批部门（人员）审批后可改变招标方式或不再进行招标。</w:t>
      </w:r>
    </w:p>
    <w:p w14:paraId="75FE5FAE">
      <w:pPr>
        <w:pStyle w:val="6"/>
        <w:keepNext w:val="0"/>
        <w:keepLines w:val="0"/>
        <w:widowControl/>
        <w:numPr>
          <w:ilvl w:val="0"/>
          <w:numId w:val="3"/>
        </w:numPr>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纪律和监督</w:t>
      </w:r>
    </w:p>
    <w:p w14:paraId="2E7E8E49">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9.1 对招标人的纪律要求</w:t>
      </w:r>
    </w:p>
    <w:p w14:paraId="385C1885">
      <w:pPr>
        <w:spacing w:line="360" w:lineRule="auto"/>
        <w:ind w:firstLine="420" w:firstLineChars="200"/>
      </w:pPr>
      <w:r>
        <w:rPr>
          <w:rFonts w:hint="eastAsia"/>
        </w:rPr>
        <w:t>招标人不得泄露招标投标活动中应当保密的情况和资料，不得与投标人串通损害国家利益、社会公共利益或者他人合法权益。</w:t>
      </w:r>
    </w:p>
    <w:p w14:paraId="0F0769F0">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9.2 对投标人的纪律要求</w:t>
      </w:r>
    </w:p>
    <w:p w14:paraId="1B4242EB">
      <w:pPr>
        <w:spacing w:line="360" w:lineRule="auto"/>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AA91C3">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9.3 对评标委员会成员的纪律要求</w:t>
      </w:r>
    </w:p>
    <w:p w14:paraId="4AA1E9ED">
      <w:pPr>
        <w:spacing w:line="360" w:lineRule="auto"/>
        <w:ind w:firstLine="420" w:firstLineChars="20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03DFA1E">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9.4 对与评标活动有关的工作人员的纪律要求</w:t>
      </w:r>
    </w:p>
    <w:p w14:paraId="16E5F56F">
      <w:pPr>
        <w:spacing w:line="360" w:lineRule="auto"/>
        <w:ind w:firstLine="420" w:firstLineChars="20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36B5829">
      <w:pPr>
        <w:pStyle w:val="20"/>
        <w:widowControl/>
        <w:spacing w:before="260" w:after="260" w:line="240" w:lineRule="auto"/>
        <w:jc w:val="both"/>
        <w:textAlignment w:val="center"/>
        <w:rPr>
          <w:rFonts w:ascii="黑体" w:hAnsi="黑体" w:eastAsia="黑体" w:cs="黑体"/>
          <w:b w:val="0"/>
          <w:bCs w:val="0"/>
          <w:sz w:val="28"/>
          <w:szCs w:val="28"/>
        </w:rPr>
      </w:pPr>
      <w:r>
        <w:rPr>
          <w:rFonts w:hint="eastAsia" w:ascii="黑体" w:hAnsi="黑体" w:eastAsia="黑体" w:cs="黑体"/>
          <w:b w:val="0"/>
          <w:bCs w:val="0"/>
          <w:sz w:val="28"/>
          <w:szCs w:val="28"/>
        </w:rPr>
        <w:t>9.5 异议与投诉</w:t>
      </w:r>
    </w:p>
    <w:p w14:paraId="290390ED">
      <w:pPr>
        <w:spacing w:line="360" w:lineRule="auto"/>
        <w:ind w:firstLine="420" w:firstLineChars="200"/>
      </w:pPr>
      <w:r>
        <w:rPr>
          <w:rFonts w:hint="eastAsia"/>
        </w:rPr>
        <w:t>9.5.1 异议</w:t>
      </w:r>
    </w:p>
    <w:p w14:paraId="3F8F2B95">
      <w:pPr>
        <w:spacing w:line="360" w:lineRule="auto"/>
        <w:ind w:firstLine="420" w:firstLineChars="200"/>
      </w:pPr>
      <w:r>
        <w:rPr>
          <w:rFonts w:hint="eastAsia"/>
        </w:rPr>
        <w:t>投标人或者其他利害关系人对招标文件有异议的，应在投标人须知规定的时间前提出。招标人应当自收到异议之日起3日内作出答复；作出答复前，应当暂停招标投标活动。</w:t>
      </w:r>
    </w:p>
    <w:p w14:paraId="628802B9">
      <w:pPr>
        <w:spacing w:line="360" w:lineRule="auto"/>
        <w:ind w:firstLine="420" w:firstLineChars="200"/>
      </w:pPr>
      <w:r>
        <w:rPr>
          <w:rFonts w:hint="eastAsia"/>
        </w:rPr>
        <w:t>投标人对开标有异议的，应当在开标现场提出，招标人应当当场作出答复，并制作记录。</w:t>
      </w:r>
    </w:p>
    <w:p w14:paraId="78978544">
      <w:pPr>
        <w:spacing w:line="360" w:lineRule="auto"/>
        <w:ind w:firstLine="420" w:firstLineChars="200"/>
      </w:pPr>
      <w:r>
        <w:rPr>
          <w:rFonts w:hint="eastAsia"/>
        </w:rPr>
        <w:t>投标人或者其他利害关系人对依法必须进行招标的项目的评标结果有异议的，应当在中标候选人公示期间提出。</w:t>
      </w:r>
    </w:p>
    <w:p w14:paraId="4D273C40">
      <w:pPr>
        <w:spacing w:line="360" w:lineRule="auto"/>
        <w:ind w:firstLine="420" w:firstLineChars="200"/>
      </w:pPr>
      <w:r>
        <w:rPr>
          <w:rFonts w:hint="eastAsia"/>
        </w:rPr>
        <w:t>9.5.2 投诉</w:t>
      </w:r>
    </w:p>
    <w:p w14:paraId="1A6314FA">
      <w:pPr>
        <w:spacing w:line="360" w:lineRule="auto"/>
        <w:ind w:firstLine="420" w:firstLineChars="200"/>
      </w:pPr>
      <w:r>
        <w:rPr>
          <w:rFonts w:hint="eastAsia"/>
        </w:rPr>
        <w:t>投标人和其他利害关系人认为本次招标活动违反法律、法规和规章规定的，可以在知道或者应当知道之日起十日内向相关招投标监督管理部门提出书面投诉。投诉应当有明确的请求和必要的证明材料。就第9.5.1项规定事项提出投诉的，应先向招标人提出异议。</w:t>
      </w:r>
    </w:p>
    <w:p w14:paraId="6DF73F36">
      <w:pPr>
        <w:pStyle w:val="6"/>
        <w:keepNext w:val="0"/>
        <w:keepLines w:val="0"/>
        <w:widowControl/>
        <w:numPr>
          <w:ilvl w:val="0"/>
          <w:numId w:val="3"/>
        </w:numPr>
        <w:spacing w:before="260" w:after="260" w:line="240" w:lineRule="auto"/>
        <w:textAlignment w:val="center"/>
        <w:rPr>
          <w:rFonts w:ascii="Times New Roman" w:hAnsi="Times New Roman" w:eastAsia="黑体"/>
          <w:kern w:val="28"/>
          <w:sz w:val="32"/>
          <w:szCs w:val="32"/>
        </w:rPr>
      </w:pPr>
      <w:r>
        <w:rPr>
          <w:rFonts w:ascii="Times New Roman" w:hAnsi="Times New Roman" w:eastAsia="黑体"/>
          <w:kern w:val="28"/>
          <w:sz w:val="32"/>
          <w:szCs w:val="32"/>
        </w:rPr>
        <w:t>需要补充的其他内容</w:t>
      </w:r>
    </w:p>
    <w:p w14:paraId="73671FF2">
      <w:pPr>
        <w:spacing w:line="360" w:lineRule="auto"/>
        <w:ind w:firstLine="420" w:firstLineChars="200"/>
      </w:pPr>
      <w:r>
        <w:rPr>
          <w:rFonts w:hint="eastAsia"/>
        </w:rPr>
        <w:t>10.1 招投标相关单位及个人在招投标活动中存在以下“10.1.1”不良行为的，在“江苏省建设工程招标网”</w:t>
      </w:r>
      <w:r>
        <w:t>等招标网</w:t>
      </w:r>
      <w:r>
        <w:rPr>
          <w:rFonts w:hint="eastAsia"/>
        </w:rPr>
        <w:t>公示期间，本项目的招标人拒绝其投标。</w:t>
      </w:r>
    </w:p>
    <w:p w14:paraId="12F042CA">
      <w:pPr>
        <w:spacing w:line="360" w:lineRule="auto"/>
        <w:ind w:firstLine="422" w:firstLineChars="200"/>
        <w:rPr>
          <w:b/>
          <w:bCs/>
        </w:rPr>
      </w:pPr>
      <w:r>
        <w:rPr>
          <w:rFonts w:hint="eastAsia"/>
          <w:b/>
          <w:bCs/>
        </w:rPr>
        <w:t>10.1.1 投标人在招投标活动中出现下列行为，视为不良行为：</w:t>
      </w:r>
    </w:p>
    <w:p w14:paraId="1A8954DA">
      <w:pPr>
        <w:spacing w:line="360" w:lineRule="auto"/>
        <w:ind w:firstLine="422" w:firstLineChars="200"/>
        <w:rPr>
          <w:b/>
          <w:bCs/>
        </w:rPr>
      </w:pPr>
      <w:bookmarkStart w:id="2" w:name="_Toc267261701"/>
      <w:r>
        <w:rPr>
          <w:rFonts w:hint="eastAsia"/>
          <w:b/>
          <w:bCs/>
        </w:rPr>
        <w:t>（1）投标人在投标截止后，非招标人原因撤销其投标行为的，导致项目无法正常开评标的；</w:t>
      </w:r>
    </w:p>
    <w:p w14:paraId="30304B87">
      <w:pPr>
        <w:spacing w:line="360" w:lineRule="auto"/>
        <w:ind w:firstLine="422" w:firstLineChars="200"/>
        <w:rPr>
          <w:b/>
          <w:bCs/>
        </w:rPr>
      </w:pPr>
      <w:r>
        <w:rPr>
          <w:rFonts w:hint="eastAsia"/>
          <w:b/>
          <w:bCs/>
        </w:rPr>
        <w:t>暂停参与海兴控股集团及各子公司项目的资格1个月，并在“电子交易平台”予以公示；</w:t>
      </w:r>
    </w:p>
    <w:p w14:paraId="3638012C">
      <w:pPr>
        <w:spacing w:line="360" w:lineRule="auto"/>
        <w:ind w:firstLine="422" w:firstLineChars="200"/>
        <w:rPr>
          <w:b/>
          <w:bCs/>
        </w:rPr>
      </w:pPr>
      <w:r>
        <w:rPr>
          <w:rFonts w:hint="eastAsia"/>
          <w:b/>
          <w:bCs/>
        </w:rPr>
        <w:t>（2）递交无竞争力的投标文件的（无竞争力投标是指不以中标为目的的投标，包括投标报价畸高、投标文件故意漏项缺项、 施工组织设计文件不符合篇幅要求，以及故意违反招标文件中已醒目标识的无效投标条款且事先未质疑等情形）；暂停参与海兴控股集团及各子公司项目的资格1个月，并在“电子交易平台”予以公示；</w:t>
      </w:r>
    </w:p>
    <w:p w14:paraId="74CCFC3F">
      <w:pPr>
        <w:spacing w:line="360" w:lineRule="auto"/>
        <w:ind w:firstLine="422" w:firstLineChars="200"/>
        <w:rPr>
          <w:b/>
          <w:bCs/>
        </w:rPr>
      </w:pPr>
      <w:r>
        <w:rPr>
          <w:rFonts w:hint="eastAsia"/>
          <w:b/>
          <w:bCs/>
        </w:rPr>
        <w:t>（3）投诉人故意捏造事实、伪造证明材料的，或者以非法手段取得证明材料等进行恶意投诉的；暂停参与海兴控股集团及各子公司项目的资格3个月，并在“电子交易平台”予以公示。</w:t>
      </w:r>
    </w:p>
    <w:p w14:paraId="5D080CA0">
      <w:pPr>
        <w:spacing w:line="360" w:lineRule="auto"/>
        <w:ind w:firstLine="422" w:firstLineChars="200"/>
        <w:rPr>
          <w:b/>
          <w:bCs/>
        </w:rPr>
      </w:pPr>
      <w:r>
        <w:rPr>
          <w:rFonts w:hint="eastAsia"/>
          <w:b/>
          <w:bCs/>
        </w:rPr>
        <w:t>（4）投标人弄虚作假、骗取中标的；暂停参与海兴控股集团及各子公司项目的资格12个月，并在“电子交易平台”予以公示；</w:t>
      </w:r>
    </w:p>
    <w:p w14:paraId="0000D7B2">
      <w:pPr>
        <w:spacing w:line="360" w:lineRule="auto"/>
        <w:ind w:firstLine="422" w:firstLineChars="200"/>
        <w:rPr>
          <w:b/>
          <w:bCs/>
        </w:rPr>
      </w:pPr>
      <w:r>
        <w:rPr>
          <w:rFonts w:hint="eastAsia"/>
          <w:b/>
          <w:bCs/>
        </w:rPr>
        <w:t>（5）投标人存在串标、围标或行贿行为的；暂停参与海兴控股集团及各子公司项目的资格12个月，并在“电子交易平台”予以公示；</w:t>
      </w:r>
    </w:p>
    <w:p w14:paraId="0CD1171D">
      <w:pPr>
        <w:spacing w:line="360" w:lineRule="auto"/>
        <w:ind w:firstLine="422" w:firstLineChars="200"/>
        <w:rPr>
          <w:b/>
          <w:bCs/>
        </w:rPr>
      </w:pPr>
      <w:r>
        <w:rPr>
          <w:rFonts w:hint="eastAsia"/>
          <w:b/>
          <w:bCs/>
        </w:rPr>
        <w:t>（6）收到中标通知书后以不正当理由不签约或签约后以不正当理由不履行或不守信的；暂停参与海兴控股集团及各子公司项目的资格6个月，并在“电子交易平台”予以公示；</w:t>
      </w:r>
    </w:p>
    <w:p w14:paraId="4C0DB26E">
      <w:pPr>
        <w:spacing w:line="360" w:lineRule="auto"/>
        <w:ind w:firstLine="422" w:firstLineChars="200"/>
        <w:rPr>
          <w:b/>
          <w:bCs/>
        </w:rPr>
      </w:pPr>
      <w:r>
        <w:rPr>
          <w:rFonts w:hint="eastAsia"/>
          <w:b/>
          <w:bCs/>
        </w:rPr>
        <w:t>（7）故意不按合同、图纸或标书要求进行施工、擅自降低产品、货物或服务质量、等级和售后服务，或者产品、货物或服务存在严重质量问题且造成安全事故或带来严重安全隐患，拒不整改或整改后验收不合格的；暂停参与海兴控股集团及各子公司项目的资格6个月，并在“电子交易平台”予以公示；</w:t>
      </w:r>
    </w:p>
    <w:p w14:paraId="1FD05AF6">
      <w:pPr>
        <w:spacing w:line="360" w:lineRule="auto"/>
        <w:ind w:firstLine="422" w:firstLineChars="200"/>
        <w:rPr>
          <w:b/>
          <w:bCs/>
        </w:rPr>
      </w:pPr>
      <w:r>
        <w:rPr>
          <w:rFonts w:hint="eastAsia"/>
          <w:b/>
          <w:bCs/>
        </w:rPr>
        <w:t>（8）故意以员工、工人工资等问题挑起争议或纠纷，或鼓动员工、工人及其他人员实施围堵、闹事、请愿等干扰采购人办公、扰乱企业经营秩序、影响社会治安的行为的；暂停参与海兴控股集团及各子公司项目的资格6个月，并在“电子交易平台”予以公示；</w:t>
      </w:r>
    </w:p>
    <w:p w14:paraId="5EF5C517">
      <w:pPr>
        <w:spacing w:line="360" w:lineRule="auto"/>
        <w:ind w:firstLine="422" w:firstLineChars="200"/>
        <w:rPr>
          <w:b/>
          <w:bCs/>
        </w:rPr>
      </w:pPr>
      <w:r>
        <w:rPr>
          <w:rFonts w:hint="eastAsia"/>
          <w:b/>
          <w:bCs/>
        </w:rPr>
        <w:t>（9）项目成果交付后，因供应商原因出现重大质量缺陷或安全事故的；暂停参与海兴控股集团及各子公司项目的资格3个月，并在“电子交易平台”予以公示；</w:t>
      </w:r>
    </w:p>
    <w:p w14:paraId="6902EC68">
      <w:pPr>
        <w:spacing w:line="360" w:lineRule="auto"/>
        <w:ind w:firstLine="422" w:firstLineChars="200"/>
        <w:rPr>
          <w:b/>
          <w:bCs/>
        </w:rPr>
      </w:pPr>
      <w:r>
        <w:rPr>
          <w:rFonts w:hint="eastAsia"/>
          <w:b/>
          <w:bCs/>
        </w:rPr>
        <w:t>（10）因供应商原因给各单位带来工期、安全、质量、采购成本等严重影响，且不能有效消除的；暂停参与海兴控股集团及各子公司项目的资格3个月，并在“电子交易平台”予以公示。</w:t>
      </w:r>
    </w:p>
    <w:p w14:paraId="6DDF0E00">
      <w:pPr>
        <w:spacing w:line="360" w:lineRule="auto"/>
        <w:ind w:firstLine="422" w:firstLineChars="200"/>
        <w:rPr>
          <w:b/>
          <w:bCs/>
        </w:rPr>
      </w:pPr>
      <w:r>
        <w:rPr>
          <w:rFonts w:hint="eastAsia"/>
          <w:b/>
          <w:bCs/>
        </w:rPr>
        <w:t>（11）工程施工人员无相关施工资格证件的，暂停参与海兴控股集团及各子公司项目的资格3个月，并在“电子交易平台”予以公示。</w:t>
      </w:r>
    </w:p>
    <w:p w14:paraId="14001389">
      <w:pPr>
        <w:spacing w:line="360" w:lineRule="auto"/>
        <w:ind w:firstLine="420" w:firstLineChars="200"/>
      </w:pPr>
      <w:r>
        <w:rPr>
          <w:rFonts w:hint="eastAsia"/>
        </w:rPr>
        <w:t>10.2 投标须知以及答疑文件、补充通知对本通用条款作出补充调整的，从其规定。</w:t>
      </w:r>
    </w:p>
    <w:p w14:paraId="10BE6F85">
      <w:pPr>
        <w:spacing w:line="360" w:lineRule="auto"/>
        <w:ind w:firstLine="420" w:firstLineChars="200"/>
      </w:pPr>
      <w:r>
        <w:rPr>
          <w:rFonts w:hint="eastAsia"/>
        </w:rPr>
        <w:t>10.3 本通用条款未尽事宜，按国家和省有关法律法规、规章要求处理。</w:t>
      </w:r>
    </w:p>
    <w:p w14:paraId="27D35E88">
      <w:pPr>
        <w:spacing w:line="360" w:lineRule="auto"/>
        <w:ind w:firstLine="420" w:firstLineChars="200"/>
      </w:pPr>
      <w:r>
        <w:rPr>
          <w:rFonts w:hint="eastAsia"/>
        </w:rPr>
        <w:t>10.4 本招标文件的解释权归招标人所有。</w:t>
      </w:r>
    </w:p>
    <w:p w14:paraId="13A5B6D3">
      <w:pPr>
        <w:spacing w:line="360" w:lineRule="auto"/>
        <w:ind w:firstLine="420" w:firstLineChars="200"/>
      </w:pPr>
      <w:r>
        <w:rPr>
          <w:rFonts w:hint="eastAsia"/>
        </w:rPr>
        <w:br w:type="page"/>
      </w:r>
    </w:p>
    <w:p w14:paraId="267D7B5E">
      <w:pPr>
        <w:widowControl/>
        <w:snapToGrid w:val="0"/>
        <w:spacing w:line="500" w:lineRule="exact"/>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 xml:space="preserve">第三章 </w:t>
      </w:r>
      <w:r>
        <w:rPr>
          <w:rFonts w:hint="eastAsia" w:ascii="宋体" w:hAnsi="宋体" w:cs="宋体"/>
          <w:b/>
          <w:bCs/>
          <w:kern w:val="0"/>
          <w:sz w:val="44"/>
          <w:szCs w:val="44"/>
          <w:lang w:val="en-US" w:eastAsia="zh-CN"/>
        </w:rPr>
        <w:t xml:space="preserve"> </w:t>
      </w:r>
      <w:r>
        <w:rPr>
          <w:rFonts w:hint="eastAsia" w:ascii="宋体" w:hAnsi="宋体" w:eastAsia="宋体" w:cs="宋体"/>
          <w:b/>
          <w:bCs/>
          <w:kern w:val="0"/>
          <w:sz w:val="44"/>
          <w:szCs w:val="44"/>
        </w:rPr>
        <w:t>评标办法</w:t>
      </w:r>
    </w:p>
    <w:p w14:paraId="0F14A2D0">
      <w:pPr>
        <w:keepNext w:val="0"/>
        <w:keepLines w:val="0"/>
        <w:pageBreakBefore w:val="0"/>
        <w:kinsoku/>
        <w:wordWrap/>
        <w:overflowPunct/>
        <w:topLinePunct w:val="0"/>
        <w:autoSpaceDE/>
        <w:autoSpaceDN/>
        <w:bidi w:val="0"/>
        <w:adjustRightInd/>
        <w:snapToGrid/>
        <w:spacing w:before="0" w:after="0" w:line="440" w:lineRule="exact"/>
        <w:textAlignment w:val="auto"/>
        <w:outlineLvl w:val="9"/>
        <w:rPr>
          <w:rFonts w:hint="eastAsia" w:ascii="宋体" w:hAnsi="宋体" w:eastAsia="宋体" w:cs="宋体"/>
          <w:b/>
          <w:bCs/>
          <w:sz w:val="21"/>
          <w:szCs w:val="21"/>
        </w:rPr>
      </w:pPr>
    </w:p>
    <w:p w14:paraId="37017395">
      <w:pPr>
        <w:pStyle w:val="4"/>
        <w:pageBreakBefore w:val="0"/>
        <w:kinsoku/>
        <w:wordWrap/>
        <w:overflowPunct/>
        <w:topLinePunct w:val="0"/>
        <w:autoSpaceDE/>
        <w:autoSpaceDN/>
        <w:bidi w:val="0"/>
        <w:adjustRightInd/>
        <w:snapToGrid/>
        <w:spacing w:before="0" w:after="0" w:line="440" w:lineRule="exact"/>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一、评标、定标办法</w:t>
      </w:r>
    </w:p>
    <w:p w14:paraId="3BDBD3B1">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本项目评标办法采用“</w:t>
      </w:r>
      <w:r>
        <w:rPr>
          <w:rFonts w:hint="eastAsia" w:ascii="宋体" w:hAnsi="宋体" w:eastAsia="宋体" w:cs="宋体"/>
          <w:color w:val="auto"/>
          <w:sz w:val="21"/>
          <w:szCs w:val="21"/>
          <w:lang w:eastAsia="zh-CN"/>
        </w:rPr>
        <w:t>合理低价法</w:t>
      </w:r>
      <w:r>
        <w:rPr>
          <w:rFonts w:hint="eastAsia" w:ascii="宋体" w:hAnsi="宋体" w:eastAsia="宋体" w:cs="宋体"/>
          <w:color w:val="auto"/>
          <w:sz w:val="21"/>
          <w:szCs w:val="21"/>
        </w:rPr>
        <w:t>”，由招标人依法组建的评标委员会对投标文件进行评审。采取计分制，按照总得分由高至低推荐</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名中标候选人。招标人根据评标委员会提供的书面评标报告，依法确定中标人。</w:t>
      </w:r>
    </w:p>
    <w:p w14:paraId="30F204B6">
      <w:pPr>
        <w:pStyle w:val="4"/>
        <w:pageBreakBefore w:val="0"/>
        <w:kinsoku/>
        <w:wordWrap/>
        <w:overflowPunct/>
        <w:topLinePunct w:val="0"/>
        <w:autoSpaceDE/>
        <w:autoSpaceDN/>
        <w:bidi w:val="0"/>
        <w:adjustRightInd/>
        <w:snapToGrid/>
        <w:spacing w:before="0" w:after="0" w:line="440" w:lineRule="exact"/>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二、评标标准和程序</w:t>
      </w:r>
    </w:p>
    <w:p w14:paraId="6FA5A759">
      <w:pPr>
        <w:pStyle w:val="20"/>
        <w:pageBreakBefore w:val="0"/>
        <w:widowControl/>
        <w:kinsoku/>
        <w:wordWrap/>
        <w:overflowPunct/>
        <w:topLinePunct w:val="0"/>
        <w:autoSpaceDE/>
        <w:autoSpaceDN/>
        <w:bidi w:val="0"/>
        <w:adjustRightInd/>
        <w:snapToGrid/>
        <w:spacing w:before="0" w:after="0" w:line="440" w:lineRule="exact"/>
        <w:ind w:firstLine="211" w:firstLineChars="100"/>
        <w:jc w:val="both"/>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（一）开标</w:t>
      </w:r>
    </w:p>
    <w:p w14:paraId="6A487254">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投标文件存在以下情况之一的，以及开标过程发现的其他废标情形，不再进行后续评标：</w:t>
      </w:r>
    </w:p>
    <w:p w14:paraId="7CBA1D8B">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（1）开标唱标信息、投标函中载明的招标项目完成期限超过招标文件规定的期限；</w:t>
      </w:r>
    </w:p>
    <w:p w14:paraId="1CAE2425">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（2）开标唱标信息、投标函中载明的投标质量标准未响应招标文件实质性要求和条件；</w:t>
      </w:r>
    </w:p>
    <w:p w14:paraId="1DEEF414">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（3）招标文件约定的出席开标会议的人员未到场的（如有要求）；</w:t>
      </w:r>
    </w:p>
    <w:p w14:paraId="3CA04712">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（4）开标唱标信息、投标函中载明的投标报价高于招标人</w:t>
      </w:r>
      <w:r>
        <w:rPr>
          <w:rFonts w:hint="eastAsia" w:ascii="宋体" w:hAnsi="宋体" w:eastAsia="宋体" w:cs="宋体"/>
          <w:sz w:val="21"/>
          <w:szCs w:val="21"/>
        </w:rPr>
        <w:t>最高投标</w:t>
      </w:r>
      <w:r>
        <w:rPr>
          <w:rFonts w:hint="eastAsia" w:ascii="宋体" w:hAnsi="宋体" w:eastAsia="宋体" w:cs="宋体"/>
          <w:color w:val="000000"/>
          <w:sz w:val="21"/>
          <w:szCs w:val="21"/>
        </w:rPr>
        <w:t>限价</w:t>
      </w:r>
      <w:r>
        <w:rPr>
          <w:rFonts w:hint="eastAsia" w:ascii="宋体" w:hAnsi="宋体" w:eastAsia="宋体" w:cs="宋体"/>
          <w:color w:val="auto"/>
          <w:sz w:val="21"/>
          <w:szCs w:val="21"/>
        </w:rPr>
        <w:t>的。</w:t>
      </w:r>
    </w:p>
    <w:p w14:paraId="3C0A3AF7">
      <w:pPr>
        <w:pStyle w:val="20"/>
        <w:pageBreakBefore w:val="0"/>
        <w:widowControl/>
        <w:kinsoku/>
        <w:wordWrap/>
        <w:overflowPunct/>
        <w:topLinePunct w:val="0"/>
        <w:autoSpaceDE/>
        <w:autoSpaceDN/>
        <w:bidi w:val="0"/>
        <w:adjustRightInd/>
        <w:snapToGrid/>
        <w:spacing w:before="0" w:after="0" w:line="440" w:lineRule="exact"/>
        <w:ind w:firstLine="211" w:firstLineChars="100"/>
        <w:jc w:val="both"/>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（二）评标准备</w:t>
      </w:r>
    </w:p>
    <w:p w14:paraId="6DEEE56A">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permStart w:id="5" w:edGrp="everyone"/>
      <w:r>
        <w:rPr>
          <w:rFonts w:hint="eastAsia" w:ascii="宋体" w:hAnsi="宋体" w:eastAsia="宋体" w:cs="宋体"/>
          <w:color w:val="auto"/>
          <w:sz w:val="21"/>
          <w:szCs w:val="21"/>
        </w:rPr>
        <w:t>评标前由招标人对照省政府第 120 号令</w:t>
      </w:r>
      <w:r>
        <w:rPr>
          <w:rFonts w:hint="eastAsia" w:ascii="宋体" w:hAnsi="宋体" w:eastAsia="宋体" w:cs="宋体"/>
          <w:sz w:val="21"/>
          <w:szCs w:val="21"/>
        </w:rPr>
        <w:t>和江苏省招投标条例的</w:t>
      </w:r>
      <w:r>
        <w:rPr>
          <w:rFonts w:hint="eastAsia" w:ascii="宋体" w:hAnsi="宋体" w:eastAsia="宋体" w:cs="宋体"/>
          <w:color w:val="auto"/>
          <w:sz w:val="21"/>
          <w:szCs w:val="21"/>
        </w:rPr>
        <w:t>要求，进行评标准备工作，并核实投标人和项目负责人的资质和资格、经历和业绩、保证金缴纳情况和信用状况等方面的情况。</w:t>
      </w:r>
    </w:p>
    <w:permEnd w:id="5"/>
    <w:p w14:paraId="4DE66C51">
      <w:pPr>
        <w:pStyle w:val="20"/>
        <w:pageBreakBefore w:val="0"/>
        <w:widowControl/>
        <w:kinsoku/>
        <w:wordWrap/>
        <w:overflowPunct/>
        <w:topLinePunct w:val="0"/>
        <w:autoSpaceDE/>
        <w:autoSpaceDN/>
        <w:bidi w:val="0"/>
        <w:adjustRightInd/>
        <w:snapToGrid/>
        <w:spacing w:before="0" w:after="0" w:line="440" w:lineRule="exact"/>
        <w:ind w:firstLine="211" w:firstLineChars="100"/>
        <w:jc w:val="both"/>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（三）清标</w:t>
      </w:r>
    </w:p>
    <w:p w14:paraId="79EE970C">
      <w:pPr>
        <w:pageBreakBefore w:val="0"/>
        <w:kinsoku/>
        <w:wordWrap/>
        <w:overflowPunct/>
        <w:topLinePunct w:val="0"/>
        <w:autoSpaceDE/>
        <w:autoSpaceDN/>
        <w:bidi w:val="0"/>
        <w:adjustRightInd/>
        <w:snapToGrid/>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在清标过程中，被废标的投标人，不再进行后续评标。</w:t>
      </w:r>
    </w:p>
    <w:p w14:paraId="45FEA169">
      <w:pPr>
        <w:pStyle w:val="20"/>
        <w:pageBreakBefore w:val="0"/>
        <w:widowControl/>
        <w:kinsoku/>
        <w:wordWrap/>
        <w:overflowPunct/>
        <w:topLinePunct w:val="0"/>
        <w:autoSpaceDE/>
        <w:autoSpaceDN/>
        <w:bidi w:val="0"/>
        <w:adjustRightInd/>
        <w:snapToGrid/>
        <w:spacing w:before="0" w:after="0" w:line="440" w:lineRule="exact"/>
        <w:ind w:firstLine="211" w:firstLineChars="100"/>
        <w:jc w:val="both"/>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（四）资格审查</w:t>
      </w:r>
    </w:p>
    <w:p w14:paraId="07E591B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评标委员会对所有参加投标的投标人的资格对照招标文件资格条件要求进行审查，只有通过资格审查的投标人方可进行下一阶段的评审。</w:t>
      </w:r>
    </w:p>
    <w:p w14:paraId="39C3DA6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1、初步评审</w:t>
      </w:r>
    </w:p>
    <w:p w14:paraId="0A1D5A6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1.1形式评审标准</w:t>
      </w:r>
    </w:p>
    <w:p w14:paraId="20C634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对投标文件的有效性、完整性进行评审。</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4724"/>
      </w:tblGrid>
      <w:tr w14:paraId="2A596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14:paraId="36B67EA5">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4724" w:type="dxa"/>
            <w:tcBorders>
              <w:top w:val="single" w:color="auto" w:sz="4" w:space="0"/>
              <w:left w:val="single" w:color="auto" w:sz="4" w:space="0"/>
              <w:bottom w:val="single" w:color="auto" w:sz="4" w:space="0"/>
              <w:right w:val="single" w:color="auto" w:sz="4" w:space="0"/>
            </w:tcBorders>
          </w:tcPr>
          <w:p w14:paraId="42761353">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0B3F5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14:paraId="3B92DAE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4724" w:type="dxa"/>
            <w:tcBorders>
              <w:top w:val="single" w:color="auto" w:sz="4" w:space="0"/>
              <w:left w:val="single" w:color="auto" w:sz="4" w:space="0"/>
              <w:bottom w:val="single" w:color="auto" w:sz="4" w:space="0"/>
              <w:right w:val="single" w:color="auto" w:sz="4" w:space="0"/>
            </w:tcBorders>
          </w:tcPr>
          <w:p w14:paraId="54E41F6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与营业执照、资质证书、安全生产许可证一致</w:t>
            </w:r>
          </w:p>
        </w:tc>
      </w:tr>
      <w:tr w14:paraId="19D36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2656" w:type="dxa"/>
            <w:tcBorders>
              <w:top w:val="single" w:color="auto" w:sz="4" w:space="0"/>
              <w:left w:val="single" w:color="auto" w:sz="4" w:space="0"/>
              <w:bottom w:val="nil"/>
              <w:right w:val="single" w:color="auto" w:sz="4" w:space="0"/>
            </w:tcBorders>
          </w:tcPr>
          <w:p w14:paraId="2C9A1D2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投标文件的数字证书</w:t>
            </w:r>
          </w:p>
        </w:tc>
        <w:tc>
          <w:tcPr>
            <w:tcW w:w="4724" w:type="dxa"/>
            <w:tcBorders>
              <w:top w:val="single" w:color="auto" w:sz="4" w:space="0"/>
              <w:left w:val="single" w:color="auto" w:sz="4" w:space="0"/>
              <w:bottom w:val="nil"/>
              <w:right w:val="single" w:color="auto" w:sz="4" w:space="0"/>
            </w:tcBorders>
          </w:tcPr>
          <w:p w14:paraId="2101D06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符合数字证书认证的要求</w:t>
            </w:r>
          </w:p>
        </w:tc>
      </w:tr>
      <w:tr w14:paraId="3238C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14:paraId="0619D56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4724" w:type="dxa"/>
            <w:tcBorders>
              <w:top w:val="single" w:color="auto" w:sz="4" w:space="0"/>
              <w:left w:val="single" w:color="auto" w:sz="4" w:space="0"/>
              <w:bottom w:val="single" w:color="auto" w:sz="4" w:space="0"/>
              <w:right w:val="single" w:color="auto" w:sz="4" w:space="0"/>
            </w:tcBorders>
          </w:tcPr>
          <w:p w14:paraId="718182B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符合第八章投标文件格式要求</w:t>
            </w:r>
          </w:p>
        </w:tc>
      </w:tr>
      <w:tr w14:paraId="1D249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14:paraId="3ACB560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投标函</w:t>
            </w:r>
          </w:p>
        </w:tc>
        <w:tc>
          <w:tcPr>
            <w:tcW w:w="4724" w:type="dxa"/>
            <w:tcBorders>
              <w:top w:val="single" w:color="auto" w:sz="4" w:space="0"/>
              <w:left w:val="single" w:color="auto" w:sz="4" w:space="0"/>
              <w:bottom w:val="single" w:color="auto" w:sz="4" w:space="0"/>
              <w:right w:val="single" w:color="auto" w:sz="4" w:space="0"/>
            </w:tcBorders>
          </w:tcPr>
          <w:p w14:paraId="54EEBD9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有法定代表人或其委托代理人签字（或盖章）并加盖投标单位公章</w:t>
            </w:r>
          </w:p>
        </w:tc>
      </w:tr>
      <w:tr w14:paraId="03D3D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14:paraId="48A52C7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授权委托书</w:t>
            </w:r>
          </w:p>
        </w:tc>
        <w:tc>
          <w:tcPr>
            <w:tcW w:w="4724" w:type="dxa"/>
            <w:tcBorders>
              <w:top w:val="single" w:color="auto" w:sz="4" w:space="0"/>
              <w:left w:val="single" w:color="auto" w:sz="4" w:space="0"/>
              <w:bottom w:val="single" w:color="auto" w:sz="4" w:space="0"/>
              <w:right w:val="single" w:color="auto" w:sz="4" w:space="0"/>
            </w:tcBorders>
          </w:tcPr>
          <w:p w14:paraId="2263651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有法定代表人签字(或盖章)并加盖投标单位公章</w:t>
            </w:r>
          </w:p>
        </w:tc>
      </w:tr>
      <w:tr w14:paraId="606B5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14:paraId="24BB21F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4724" w:type="dxa"/>
            <w:tcBorders>
              <w:top w:val="single" w:color="auto" w:sz="4" w:space="0"/>
              <w:left w:val="single" w:color="auto" w:sz="4" w:space="0"/>
              <w:bottom w:val="single" w:color="auto" w:sz="4" w:space="0"/>
              <w:right w:val="single" w:color="auto" w:sz="4" w:space="0"/>
            </w:tcBorders>
            <w:vAlign w:val="center"/>
          </w:tcPr>
          <w:p w14:paraId="53E1B67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2D995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14:paraId="69C003C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联合体投标人（如有）</w:t>
            </w:r>
          </w:p>
        </w:tc>
        <w:tc>
          <w:tcPr>
            <w:tcW w:w="4724" w:type="dxa"/>
            <w:tcBorders>
              <w:top w:val="single" w:color="auto" w:sz="4" w:space="0"/>
              <w:left w:val="single" w:color="auto" w:sz="4" w:space="0"/>
              <w:bottom w:val="single" w:color="auto" w:sz="4" w:space="0"/>
              <w:right w:val="single" w:color="auto" w:sz="4" w:space="0"/>
            </w:tcBorders>
            <w:vAlign w:val="center"/>
          </w:tcPr>
          <w:p w14:paraId="52ABE87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提交联合体协议书，并明确联合体牵头人</w:t>
            </w:r>
          </w:p>
        </w:tc>
      </w:tr>
      <w:tr w14:paraId="5794E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tcPr>
          <w:p w14:paraId="3804C34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24" w:type="dxa"/>
            <w:tcBorders>
              <w:top w:val="single" w:color="auto" w:sz="4" w:space="0"/>
              <w:left w:val="single" w:color="auto" w:sz="4" w:space="0"/>
              <w:bottom w:val="single" w:color="auto" w:sz="4" w:space="0"/>
              <w:right w:val="single" w:color="auto" w:sz="4" w:space="0"/>
            </w:tcBorders>
          </w:tcPr>
          <w:p w14:paraId="493190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78A8F57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 资格审查（资格后审）</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1"/>
        <w:gridCol w:w="4695"/>
      </w:tblGrid>
      <w:tr w14:paraId="201E1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10A7A8A7">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4695" w:type="dxa"/>
            <w:tcBorders>
              <w:top w:val="single" w:color="auto" w:sz="4" w:space="0"/>
              <w:left w:val="single" w:color="auto" w:sz="4" w:space="0"/>
              <w:bottom w:val="single" w:color="auto" w:sz="4" w:space="0"/>
              <w:right w:val="single" w:color="auto" w:sz="4" w:space="0"/>
            </w:tcBorders>
          </w:tcPr>
          <w:p w14:paraId="5E8BBB96">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791F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18E7ADF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营业执照</w:t>
            </w:r>
          </w:p>
        </w:tc>
        <w:tc>
          <w:tcPr>
            <w:tcW w:w="4695" w:type="dxa"/>
            <w:tcBorders>
              <w:top w:val="single" w:color="auto" w:sz="4" w:space="0"/>
              <w:left w:val="single" w:color="auto" w:sz="4" w:space="0"/>
              <w:bottom w:val="single" w:color="auto" w:sz="4" w:space="0"/>
              <w:right w:val="single" w:color="auto" w:sz="4" w:space="0"/>
            </w:tcBorders>
          </w:tcPr>
          <w:p w14:paraId="3621AD7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具备有效的营业执照</w:t>
            </w:r>
          </w:p>
        </w:tc>
      </w:tr>
      <w:tr w14:paraId="5FDC7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15F7398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资质等级</w:t>
            </w:r>
          </w:p>
        </w:tc>
        <w:tc>
          <w:tcPr>
            <w:tcW w:w="4695" w:type="dxa"/>
            <w:tcBorders>
              <w:top w:val="single" w:color="auto" w:sz="4" w:space="0"/>
              <w:left w:val="single" w:color="auto" w:sz="4" w:space="0"/>
              <w:bottom w:val="single" w:color="auto" w:sz="4" w:space="0"/>
              <w:right w:val="single" w:color="auto" w:sz="4" w:space="0"/>
            </w:tcBorders>
          </w:tcPr>
          <w:p w14:paraId="463B7AC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2E58D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vAlign w:val="center"/>
          </w:tcPr>
          <w:p w14:paraId="24E216C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项目负责人</w:t>
            </w:r>
          </w:p>
        </w:tc>
        <w:tc>
          <w:tcPr>
            <w:tcW w:w="4695" w:type="dxa"/>
            <w:tcBorders>
              <w:top w:val="single" w:color="auto" w:sz="4" w:space="0"/>
              <w:left w:val="single" w:color="auto" w:sz="4" w:space="0"/>
              <w:bottom w:val="single" w:color="auto" w:sz="4" w:space="0"/>
              <w:right w:val="single" w:color="auto" w:sz="4" w:space="0"/>
            </w:tcBorders>
          </w:tcPr>
          <w:p w14:paraId="3C072C7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2D37F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vAlign w:val="center"/>
          </w:tcPr>
          <w:p w14:paraId="05C658A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项目组成员</w:t>
            </w:r>
          </w:p>
        </w:tc>
        <w:tc>
          <w:tcPr>
            <w:tcW w:w="4695" w:type="dxa"/>
            <w:tcBorders>
              <w:top w:val="single" w:color="auto" w:sz="4" w:space="0"/>
              <w:left w:val="single" w:color="auto" w:sz="4" w:space="0"/>
              <w:bottom w:val="single" w:color="auto" w:sz="4" w:space="0"/>
              <w:right w:val="single" w:color="auto" w:sz="4" w:space="0"/>
            </w:tcBorders>
          </w:tcPr>
          <w:p w14:paraId="6C60567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7522E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315027F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业绩要求</w:t>
            </w:r>
          </w:p>
        </w:tc>
        <w:tc>
          <w:tcPr>
            <w:tcW w:w="4695" w:type="dxa"/>
            <w:tcBorders>
              <w:top w:val="single" w:color="auto" w:sz="4" w:space="0"/>
              <w:left w:val="single" w:color="auto" w:sz="4" w:space="0"/>
              <w:bottom w:val="single" w:color="auto" w:sz="4" w:space="0"/>
              <w:right w:val="single" w:color="auto" w:sz="4" w:space="0"/>
            </w:tcBorders>
          </w:tcPr>
          <w:p w14:paraId="73F58E4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7679B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36EFC90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财务要求</w:t>
            </w:r>
          </w:p>
        </w:tc>
        <w:tc>
          <w:tcPr>
            <w:tcW w:w="4695" w:type="dxa"/>
            <w:tcBorders>
              <w:top w:val="single" w:color="auto" w:sz="4" w:space="0"/>
              <w:left w:val="single" w:color="auto" w:sz="4" w:space="0"/>
              <w:bottom w:val="single" w:color="auto" w:sz="4" w:space="0"/>
              <w:right w:val="single" w:color="auto" w:sz="4" w:space="0"/>
            </w:tcBorders>
          </w:tcPr>
          <w:p w14:paraId="13898FF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6C8A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7240371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信誉</w:t>
            </w:r>
          </w:p>
        </w:tc>
        <w:tc>
          <w:tcPr>
            <w:tcW w:w="4695" w:type="dxa"/>
            <w:tcBorders>
              <w:top w:val="single" w:color="auto" w:sz="4" w:space="0"/>
              <w:left w:val="single" w:color="auto" w:sz="4" w:space="0"/>
              <w:bottom w:val="single" w:color="auto" w:sz="4" w:space="0"/>
              <w:right w:val="single" w:color="auto" w:sz="4" w:space="0"/>
            </w:tcBorders>
          </w:tcPr>
          <w:p w14:paraId="2F8A8E1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12442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0B0B33FB">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4695" w:type="dxa"/>
            <w:tcBorders>
              <w:top w:val="single" w:color="auto" w:sz="4" w:space="0"/>
              <w:left w:val="single" w:color="auto" w:sz="4" w:space="0"/>
              <w:bottom w:val="single" w:color="auto" w:sz="4" w:space="0"/>
              <w:right w:val="single" w:color="auto" w:sz="4" w:space="0"/>
            </w:tcBorders>
          </w:tcPr>
          <w:p w14:paraId="1E5EB20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0E6C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60408BB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联合体投标人（如有）</w:t>
            </w:r>
          </w:p>
        </w:tc>
        <w:tc>
          <w:tcPr>
            <w:tcW w:w="4695" w:type="dxa"/>
            <w:tcBorders>
              <w:top w:val="single" w:color="auto" w:sz="4" w:space="0"/>
              <w:left w:val="single" w:color="auto" w:sz="4" w:space="0"/>
              <w:bottom w:val="single" w:color="auto" w:sz="4" w:space="0"/>
              <w:right w:val="single" w:color="auto" w:sz="4" w:space="0"/>
            </w:tcBorders>
          </w:tcPr>
          <w:p w14:paraId="1514AE8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符合第二章“投标人须知”第1.3项规定</w:t>
            </w:r>
          </w:p>
        </w:tc>
      </w:tr>
      <w:tr w14:paraId="5155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11" w:type="dxa"/>
            <w:tcBorders>
              <w:top w:val="single" w:color="auto" w:sz="4" w:space="0"/>
              <w:left w:val="single" w:color="auto" w:sz="4" w:space="0"/>
              <w:bottom w:val="single" w:color="auto" w:sz="4" w:space="0"/>
              <w:right w:val="single" w:color="auto" w:sz="4" w:space="0"/>
            </w:tcBorders>
          </w:tcPr>
          <w:p w14:paraId="6A0F687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695" w:type="dxa"/>
            <w:tcBorders>
              <w:top w:val="single" w:color="auto" w:sz="4" w:space="0"/>
              <w:left w:val="single" w:color="auto" w:sz="4" w:space="0"/>
              <w:bottom w:val="single" w:color="auto" w:sz="4" w:space="0"/>
              <w:right w:val="single" w:color="auto" w:sz="4" w:space="0"/>
            </w:tcBorders>
          </w:tcPr>
          <w:p w14:paraId="36C917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0508C4B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1.3响应性审查</w:t>
      </w:r>
    </w:p>
    <w:p w14:paraId="043653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对招标文件要求的工期、质量标准、投标保证金、投标有效期、暂定价、不可竞争费用等实质性要求的响应性进行评审。</w:t>
      </w:r>
    </w:p>
    <w:tbl>
      <w:tblPr>
        <w:tblStyle w:val="27"/>
        <w:tblW w:w="0" w:type="auto"/>
        <w:tblInd w:w="95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5"/>
        <w:gridCol w:w="4710"/>
      </w:tblGrid>
      <w:tr w14:paraId="084D0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4B445A18">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4710" w:type="dxa"/>
            <w:tcBorders>
              <w:top w:val="single" w:color="auto" w:sz="4" w:space="0"/>
              <w:left w:val="single" w:color="auto" w:sz="4" w:space="0"/>
              <w:bottom w:val="single" w:color="auto" w:sz="4" w:space="0"/>
              <w:right w:val="single" w:color="auto" w:sz="4" w:space="0"/>
            </w:tcBorders>
          </w:tcPr>
          <w:p w14:paraId="78C7C9F4">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7F1F2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0D7B01B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投标内容</w:t>
            </w:r>
          </w:p>
        </w:tc>
        <w:tc>
          <w:tcPr>
            <w:tcW w:w="4710" w:type="dxa"/>
            <w:tcBorders>
              <w:top w:val="single" w:color="auto" w:sz="4" w:space="0"/>
              <w:left w:val="single" w:color="auto" w:sz="4" w:space="0"/>
              <w:bottom w:val="single" w:color="auto" w:sz="4" w:space="0"/>
              <w:right w:val="single" w:color="auto" w:sz="4" w:space="0"/>
            </w:tcBorders>
          </w:tcPr>
          <w:p w14:paraId="5A51342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符合第二章“投标人须知”第1.1项规定</w:t>
            </w:r>
          </w:p>
        </w:tc>
      </w:tr>
      <w:tr w14:paraId="3E1BB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431799E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工期</w:t>
            </w:r>
          </w:p>
        </w:tc>
        <w:tc>
          <w:tcPr>
            <w:tcW w:w="4710" w:type="dxa"/>
            <w:tcBorders>
              <w:top w:val="single" w:color="auto" w:sz="4" w:space="0"/>
              <w:left w:val="single" w:color="auto" w:sz="4" w:space="0"/>
              <w:bottom w:val="single" w:color="auto" w:sz="4" w:space="0"/>
              <w:right w:val="single" w:color="auto" w:sz="4" w:space="0"/>
            </w:tcBorders>
          </w:tcPr>
          <w:p w14:paraId="78DEA22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符合第二章“投标人须知’’第1.1项规定</w:t>
            </w:r>
          </w:p>
        </w:tc>
      </w:tr>
      <w:tr w14:paraId="4F4C0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662F0A4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4710" w:type="dxa"/>
            <w:tcBorders>
              <w:top w:val="single" w:color="auto" w:sz="4" w:space="0"/>
              <w:left w:val="single" w:color="auto" w:sz="4" w:space="0"/>
              <w:bottom w:val="single" w:color="auto" w:sz="4" w:space="0"/>
              <w:right w:val="single" w:color="auto" w:sz="4" w:space="0"/>
            </w:tcBorders>
          </w:tcPr>
          <w:p w14:paraId="53C33BD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符合第二章“投标人须知”第1.1项规定</w:t>
            </w:r>
          </w:p>
        </w:tc>
      </w:tr>
      <w:tr w14:paraId="0AE47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52F57C1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4710" w:type="dxa"/>
            <w:tcBorders>
              <w:top w:val="single" w:color="auto" w:sz="4" w:space="0"/>
              <w:left w:val="single" w:color="auto" w:sz="4" w:space="0"/>
              <w:bottom w:val="single" w:color="auto" w:sz="4" w:space="0"/>
              <w:right w:val="single" w:color="auto" w:sz="4" w:space="0"/>
            </w:tcBorders>
          </w:tcPr>
          <w:p w14:paraId="035FFB0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符合第二章“投标人须知”第3.3项规定</w:t>
            </w:r>
          </w:p>
        </w:tc>
      </w:tr>
      <w:tr w14:paraId="0E81B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5C941B4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4710" w:type="dxa"/>
            <w:tcBorders>
              <w:top w:val="single" w:color="auto" w:sz="4" w:space="0"/>
              <w:left w:val="single" w:color="auto" w:sz="4" w:space="0"/>
              <w:bottom w:val="single" w:color="auto" w:sz="4" w:space="0"/>
              <w:right w:val="single" w:color="auto" w:sz="4" w:space="0"/>
            </w:tcBorders>
          </w:tcPr>
          <w:p w14:paraId="1E5D89D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符合第二章“投标人须知”第3.4项规定</w:t>
            </w:r>
          </w:p>
        </w:tc>
      </w:tr>
      <w:tr w14:paraId="0417B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02E80A6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技术标准和要求</w:t>
            </w:r>
          </w:p>
        </w:tc>
        <w:tc>
          <w:tcPr>
            <w:tcW w:w="4710" w:type="dxa"/>
            <w:tcBorders>
              <w:top w:val="single" w:color="auto" w:sz="4" w:space="0"/>
              <w:left w:val="single" w:color="auto" w:sz="4" w:space="0"/>
              <w:bottom w:val="single" w:color="auto" w:sz="4" w:space="0"/>
              <w:right w:val="single" w:color="auto" w:sz="4" w:space="0"/>
            </w:tcBorders>
          </w:tcPr>
          <w:p w14:paraId="2861CA1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符合第四章“发包人要求”或招标文件规定</w:t>
            </w:r>
          </w:p>
        </w:tc>
      </w:tr>
      <w:tr w14:paraId="71589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23117930">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投标价格</w:t>
            </w:r>
          </w:p>
        </w:tc>
        <w:tc>
          <w:tcPr>
            <w:tcW w:w="4710" w:type="dxa"/>
            <w:tcBorders>
              <w:top w:val="single" w:color="auto" w:sz="4" w:space="0"/>
              <w:left w:val="single" w:color="auto" w:sz="4" w:space="0"/>
              <w:bottom w:val="single" w:color="auto" w:sz="4" w:space="0"/>
              <w:right w:val="single" w:color="auto" w:sz="4" w:space="0"/>
            </w:tcBorders>
          </w:tcPr>
          <w:p w14:paraId="026FEFC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不高于第二章“投标人须知”第2.3款载明的</w:t>
            </w:r>
            <w:r>
              <w:rPr>
                <w:rFonts w:hint="eastAsia" w:ascii="宋体" w:hAnsi="宋体" w:eastAsia="宋体" w:cs="宋体"/>
                <w:sz w:val="21"/>
                <w:szCs w:val="21"/>
              </w:rPr>
              <w:t>最高投标</w:t>
            </w:r>
            <w:r>
              <w:rPr>
                <w:rFonts w:hint="eastAsia" w:ascii="宋体" w:hAnsi="宋体" w:eastAsia="宋体" w:cs="宋体"/>
                <w:color w:val="000000"/>
                <w:sz w:val="21"/>
                <w:szCs w:val="21"/>
              </w:rPr>
              <w:t>限价</w:t>
            </w:r>
            <w:r>
              <w:rPr>
                <w:rFonts w:hint="eastAsia" w:ascii="宋体" w:hAnsi="宋体" w:eastAsia="宋体" w:cs="宋体"/>
                <w:color w:val="auto"/>
                <w:sz w:val="21"/>
                <w:szCs w:val="21"/>
              </w:rPr>
              <w:t>。</w:t>
            </w:r>
          </w:p>
        </w:tc>
      </w:tr>
      <w:tr w14:paraId="5B518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715" w:type="dxa"/>
            <w:tcBorders>
              <w:top w:val="single" w:color="auto" w:sz="4" w:space="0"/>
              <w:left w:val="single" w:color="auto" w:sz="4" w:space="0"/>
              <w:bottom w:val="single" w:color="auto" w:sz="4" w:space="0"/>
              <w:right w:val="single" w:color="auto" w:sz="4" w:space="0"/>
            </w:tcBorders>
          </w:tcPr>
          <w:p w14:paraId="6D5BE1F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710" w:type="dxa"/>
            <w:tcBorders>
              <w:top w:val="single" w:color="auto" w:sz="4" w:space="0"/>
              <w:left w:val="single" w:color="auto" w:sz="4" w:space="0"/>
              <w:bottom w:val="single" w:color="auto" w:sz="4" w:space="0"/>
              <w:right w:val="single" w:color="auto" w:sz="4" w:space="0"/>
            </w:tcBorders>
          </w:tcPr>
          <w:p w14:paraId="647741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56F826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kern w:val="28"/>
          <w:sz w:val="21"/>
          <w:szCs w:val="21"/>
          <w:lang w:val="en-US" w:eastAsia="zh-CN" w:bidi="ar-SA"/>
        </w:rPr>
        <w:t>（五）评标基准价及投标报价得分确定</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016"/>
        <w:gridCol w:w="6804"/>
      </w:tblGrid>
      <w:tr w14:paraId="7C6B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78" w:type="dxa"/>
            <w:noWrap/>
            <w:vAlign w:val="center"/>
          </w:tcPr>
          <w:p w14:paraId="2DA22C1E">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评分项</w:t>
            </w:r>
          </w:p>
        </w:tc>
        <w:tc>
          <w:tcPr>
            <w:tcW w:w="1016" w:type="dxa"/>
            <w:vAlign w:val="center"/>
          </w:tcPr>
          <w:p w14:paraId="6094FD89">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6804" w:type="dxa"/>
            <w:vAlign w:val="center"/>
          </w:tcPr>
          <w:p w14:paraId="685B2AE5">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676C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78" w:type="dxa"/>
            <w:noWrap/>
            <w:vAlign w:val="center"/>
          </w:tcPr>
          <w:p w14:paraId="2081933E">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报价评审</w:t>
            </w:r>
          </w:p>
        </w:tc>
        <w:tc>
          <w:tcPr>
            <w:tcW w:w="1016" w:type="dxa"/>
            <w:vAlign w:val="center"/>
          </w:tcPr>
          <w:p w14:paraId="1CD4E99E">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100分</w:t>
            </w:r>
          </w:p>
        </w:tc>
        <w:tc>
          <w:tcPr>
            <w:tcW w:w="6804" w:type="dxa"/>
            <w:vAlign w:val="center"/>
          </w:tcPr>
          <w:p w14:paraId="6A46B75E">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1、评标基准价的确定</w:t>
            </w:r>
          </w:p>
          <w:p w14:paraId="4F3AB6A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通过评审的有效投标文件的评标价（评标价是指经澄清、补正和修正算术计算错误的投标报价(剔除不可竞争部分)，下同）算术平均值为A〔当有效投标文件≥7家时，去掉最高和最低各20%（四舍五入取整，末位投标报价相同的均保留）后进行平均；当通过评审的有效投标文件4-6家时，剔除最高报价（最高报价相同的均剔除）后进行算术平均；当通过评审的有效投标文件＜4家时，则次低报价作为投标平均价A〕。</w:t>
            </w:r>
          </w:p>
          <w:p w14:paraId="1FB1996A">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2、评标基准值计算方法的确定</w:t>
            </w:r>
          </w:p>
          <w:p w14:paraId="7C59F49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评标基准价 =A×K，K 值在开标前由招标人代表随机抽取确定，K 值的取值范围为95%、96%、97%、98%。</w:t>
            </w:r>
          </w:p>
          <w:p w14:paraId="28BFCEBC">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3、特殊情形下，评标基准价调整方式</w:t>
            </w:r>
          </w:p>
          <w:p w14:paraId="12AC0D3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除确认存在计算错误外，评标基准价一经确定，不因后续资格审查废标、招投标当事人质疑、投诉、复议以及其它任何情形而改变。</w:t>
            </w:r>
          </w:p>
          <w:p w14:paraId="5A85C796">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4、投标报价得分确定</w:t>
            </w:r>
          </w:p>
          <w:p w14:paraId="6A1BB4F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报价得分满分为 </w:t>
            </w:r>
            <w:permStart w:id="6" w:edGrp="everyone"/>
            <w:r>
              <w:rPr>
                <w:rFonts w:hint="eastAsia" w:ascii="宋体" w:hAnsi="宋体" w:eastAsia="宋体" w:cs="宋体"/>
                <w:color w:val="auto"/>
                <w:sz w:val="21"/>
                <w:szCs w:val="21"/>
              </w:rPr>
              <w:t>100</w:t>
            </w:r>
            <w:permEnd w:id="6"/>
            <w:r>
              <w:rPr>
                <w:rFonts w:hint="eastAsia" w:ascii="宋体" w:hAnsi="宋体" w:eastAsia="宋体" w:cs="宋体"/>
                <w:color w:val="auto"/>
                <w:sz w:val="21"/>
                <w:szCs w:val="21"/>
              </w:rPr>
              <w:t xml:space="preserve"> 分，投标报价等于评标基准价的得满分；投标报价相对评标基准价每低1%扣 </w:t>
            </w:r>
            <w:permStart w:id="7" w:edGrp="everyone"/>
            <w:r>
              <w:rPr>
                <w:rFonts w:hint="eastAsia" w:ascii="宋体" w:hAnsi="宋体" w:eastAsia="宋体" w:cs="宋体"/>
                <w:color w:val="auto"/>
                <w:sz w:val="21"/>
                <w:szCs w:val="21"/>
              </w:rPr>
              <w:t>0.6</w:t>
            </w:r>
            <w:permEnd w:id="7"/>
            <w:r>
              <w:rPr>
                <w:rFonts w:hint="eastAsia" w:ascii="宋体" w:hAnsi="宋体" w:eastAsia="宋体" w:cs="宋体"/>
                <w:color w:val="auto"/>
                <w:sz w:val="21"/>
                <w:szCs w:val="21"/>
              </w:rPr>
              <w:t xml:space="preserve"> 分，每高1%扣 </w:t>
            </w:r>
            <w:permStart w:id="8" w:edGrp="everyone"/>
            <w:r>
              <w:rPr>
                <w:rFonts w:hint="eastAsia" w:ascii="宋体" w:hAnsi="宋体" w:eastAsia="宋体" w:cs="宋体"/>
                <w:color w:val="auto"/>
                <w:sz w:val="21"/>
                <w:szCs w:val="21"/>
              </w:rPr>
              <w:t xml:space="preserve">0.9 </w:t>
            </w:r>
            <w:permEnd w:id="8"/>
            <w:r>
              <w:rPr>
                <w:rFonts w:hint="eastAsia" w:ascii="宋体" w:hAnsi="宋体" w:eastAsia="宋体" w:cs="宋体"/>
                <w:color w:val="auto"/>
                <w:sz w:val="21"/>
                <w:szCs w:val="21"/>
              </w:rPr>
              <w:t>分；偏离不足1%的，按照插入法计算得分。</w:t>
            </w:r>
          </w:p>
        </w:tc>
      </w:tr>
    </w:tbl>
    <w:p w14:paraId="2A716E4A">
      <w:pPr>
        <w:pStyle w:val="5"/>
        <w:keepNext/>
        <w:keepLines/>
        <w:pageBreakBefore w:val="0"/>
        <w:widowControl w:val="0"/>
        <w:kinsoku/>
        <w:wordWrap/>
        <w:overflowPunct/>
        <w:topLinePunct w:val="0"/>
        <w:autoSpaceDE/>
        <w:autoSpaceDN/>
        <w:bidi w:val="0"/>
        <w:adjustRightInd/>
        <w:snapToGrid/>
        <w:spacing w:before="0" w:after="0" w:line="440" w:lineRule="exact"/>
        <w:ind w:firstLine="211" w:firstLineChars="1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六</w:t>
      </w:r>
      <w:r>
        <w:rPr>
          <w:rFonts w:hint="eastAsia" w:ascii="宋体" w:hAnsi="宋体" w:eastAsia="宋体" w:cs="宋体"/>
          <w:b/>
          <w:bCs w:val="0"/>
          <w:color w:val="auto"/>
          <w:sz w:val="21"/>
          <w:szCs w:val="21"/>
        </w:rPr>
        <w:t>）定标补充规定</w:t>
      </w:r>
    </w:p>
    <w:p w14:paraId="3B01CC2F">
      <w:pPr>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各项得分相加即为投标人评标总分，评标总分最高者为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抽签确定排序。</w:t>
      </w:r>
    </w:p>
    <w:p w14:paraId="3825710E">
      <w:pPr>
        <w:pStyle w:val="4"/>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三、其它</w:t>
      </w:r>
    </w:p>
    <w:p w14:paraId="77C830B2">
      <w:pPr>
        <w:pStyle w:val="33"/>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本办法未述及的事宜，由评标委员会依据法律法规处置。</w:t>
      </w:r>
    </w:p>
    <w:p w14:paraId="13F1A75A">
      <w:pPr>
        <w:keepNext w:val="0"/>
        <w:keepLines w:val="0"/>
        <w:pageBreakBefore w:val="0"/>
        <w:kinsoku/>
        <w:wordWrap/>
        <w:overflowPunct/>
        <w:topLinePunct w:val="0"/>
        <w:autoSpaceDE/>
        <w:autoSpaceDN/>
        <w:bidi w:val="0"/>
        <w:adjustRightInd/>
        <w:snapToGrid/>
        <w:spacing w:before="0" w:after="0" w:line="440" w:lineRule="exact"/>
        <w:ind w:firstLine="422" w:firstLineChars="200"/>
        <w:textAlignment w:val="auto"/>
        <w:outlineLvl w:val="9"/>
        <w:rPr>
          <w:rFonts w:hint="default" w:ascii="Times New Roman" w:hAnsi="Times New Roman" w:eastAsia="宋体" w:cs="Times New Roman"/>
          <w:b/>
          <w:bCs/>
          <w:sz w:val="21"/>
          <w:szCs w:val="21"/>
        </w:rPr>
      </w:pPr>
    </w:p>
    <w:p w14:paraId="699CF852">
      <w:pPr>
        <w:rPr>
          <w:rFonts w:hint="eastAsia" w:ascii="宋体" w:hAnsi="宋体" w:eastAsia="宋体" w:cs="宋体"/>
          <w:b/>
          <w:bCs/>
          <w:sz w:val="32"/>
          <w:szCs w:val="32"/>
        </w:rPr>
      </w:pPr>
    </w:p>
    <w:p w14:paraId="3F96A144">
      <w:pPr>
        <w:pStyle w:val="33"/>
        <w:rPr>
          <w:rFonts w:hint="eastAsia"/>
        </w:rPr>
      </w:pPr>
    </w:p>
    <w:p w14:paraId="0606C67E">
      <w:pPr>
        <w:spacing w:line="500" w:lineRule="exact"/>
        <w:jc w:val="center"/>
        <w:textAlignment w:val="center"/>
        <w:rPr>
          <w:rFonts w:hint="eastAsia" w:ascii="宋体" w:hAnsi="宋体" w:eastAsia="宋体" w:cs="宋体"/>
          <w:b/>
          <w:bCs/>
          <w:sz w:val="32"/>
          <w:szCs w:val="32"/>
        </w:rPr>
      </w:pPr>
      <w:r>
        <w:rPr>
          <w:rFonts w:hint="eastAsia" w:ascii="宋体" w:hAnsi="宋体" w:eastAsia="宋体" w:cs="宋体"/>
          <w:b/>
          <w:bCs/>
          <w:sz w:val="32"/>
          <w:szCs w:val="32"/>
        </w:rPr>
        <w:t>通用评标规则</w:t>
      </w:r>
    </w:p>
    <w:p w14:paraId="3F3BD61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p>
    <w:p w14:paraId="5110F6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为进一步规范本次招标项目的评标、定标工作，制定本规则。</w:t>
      </w:r>
    </w:p>
    <w:p w14:paraId="28C118B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一、评标程序：</w:t>
      </w:r>
    </w:p>
    <w:p w14:paraId="709B7D8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资格审查材料、技术标书、商务标书应分别评审，评审后不得更改。</w:t>
      </w:r>
    </w:p>
    <w:p w14:paraId="6F10B1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二、不规范标书：评标审查中有发现投标书或投标人行为属不规范者，评标办法采用综合评估法的，经评标委员会认定后减0.3—2分；</w:t>
      </w:r>
    </w:p>
    <w:p w14:paraId="22A452B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三、技术标（如有）应符合招标文件中有关无标志的规定，对违反者应认定作废标处理。</w:t>
      </w:r>
    </w:p>
    <w:p w14:paraId="728C57A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四、打分：评委应记名打分，打分未记名的和未按招标文件规定的打分办法打分的，一律按无效票处理。评委打分按大项的算术平均值作为投标人该项得分。每大项记分保留三位小数</w:t>
      </w:r>
      <w:r>
        <w:rPr>
          <w:rFonts w:hint="eastAsia" w:ascii="宋体" w:hAnsi="宋体" w:eastAsia="宋体" w:cs="宋体"/>
          <w:szCs w:val="21"/>
          <w:lang w:eastAsia="zh-CN"/>
        </w:rPr>
        <w:t>（</w:t>
      </w:r>
      <w:r>
        <w:rPr>
          <w:rFonts w:hint="eastAsia" w:ascii="宋体" w:hAnsi="宋体" w:eastAsia="宋体" w:cs="宋体"/>
          <w:szCs w:val="21"/>
        </w:rPr>
        <w:t>第四位四舍五入</w:t>
      </w:r>
      <w:r>
        <w:rPr>
          <w:rFonts w:hint="eastAsia" w:ascii="宋体" w:hAnsi="宋体" w:eastAsia="宋体" w:cs="宋体"/>
          <w:szCs w:val="21"/>
          <w:lang w:eastAsia="zh-CN"/>
        </w:rPr>
        <w:t>）</w:t>
      </w:r>
      <w:r>
        <w:rPr>
          <w:rFonts w:hint="eastAsia" w:ascii="宋体" w:hAnsi="宋体" w:eastAsia="宋体" w:cs="宋体"/>
          <w:szCs w:val="21"/>
        </w:rPr>
        <w:t>；总得分保留二位小数</w:t>
      </w:r>
      <w:r>
        <w:rPr>
          <w:rFonts w:hint="eastAsia" w:ascii="宋体" w:hAnsi="宋体" w:eastAsia="宋体" w:cs="宋体"/>
          <w:szCs w:val="21"/>
          <w:lang w:eastAsia="zh-CN"/>
        </w:rPr>
        <w:t>（</w:t>
      </w:r>
      <w:r>
        <w:rPr>
          <w:rFonts w:hint="eastAsia" w:ascii="宋体" w:hAnsi="宋体" w:eastAsia="宋体" w:cs="宋体"/>
          <w:szCs w:val="21"/>
        </w:rPr>
        <w:t>第三位四舍五入</w:t>
      </w:r>
      <w:r>
        <w:rPr>
          <w:rFonts w:hint="eastAsia" w:ascii="宋体" w:hAnsi="宋体" w:eastAsia="宋体" w:cs="宋体"/>
          <w:szCs w:val="21"/>
          <w:lang w:eastAsia="zh-CN"/>
        </w:rPr>
        <w:t>）</w:t>
      </w:r>
      <w:r>
        <w:rPr>
          <w:rFonts w:hint="eastAsia" w:ascii="宋体" w:hAnsi="宋体" w:eastAsia="宋体" w:cs="宋体"/>
          <w:szCs w:val="21"/>
        </w:rPr>
        <w:t>。</w:t>
      </w:r>
    </w:p>
    <w:p w14:paraId="6FD9387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五、得分并列：投标人得分并列的，须明确中标候选人或需对中标候选人排序的，比较小数点后第三位值大小，得分高的排名靠前，若第三位仍相同的，由评标委员会按投标报价由低到高进行排序；如投标报价仍相同的，由评标委员会通过抽签的方式确定中标候选人的排序。</w:t>
      </w:r>
    </w:p>
    <w:p w14:paraId="4EDADA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六、投标文件中有评标委员会认为需要投标人作出必要澄清、说明的，投标人在接到通知后应当在规定的时间前赶到指定地点接受质询。逾期未赶到的，作自动放弃处理。投标人的澄清、说明应当采用书面形式，并不得超出投标文件的范围或者改变投标文件的实质性内容。</w:t>
      </w:r>
    </w:p>
    <w:p w14:paraId="0B8E091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评标委员会不得暗示或者诱导投标人作出澄清、说明，不得接受投标人主动提出的澄清、说明。</w:t>
      </w:r>
    </w:p>
    <w:p w14:paraId="0115D13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七、争议处理：评标中发生重大情况或重大争议，需要进一步调查了解、协调处理的，现场监督人员报项目监管机构同意后可暂时休会，待有关问题得到澄清后再行复会。休会期间，所有招投标资料一律封存交易中心档案室，所有与会人员一律不得泄露评标情况。</w:t>
      </w:r>
    </w:p>
    <w:p w14:paraId="65B3CF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八、违法违纪行为：在招投标过程中发生行贿受贿、扰乱招投标活动秩序及其他严重违法违纪行为的，一律取消有关责任人参与招投标活动的资格；已有评审结果的，应宣布评审结果无效。</w:t>
      </w:r>
    </w:p>
    <w:p w14:paraId="488EBE15">
      <w:pPr>
        <w:rPr>
          <w:b/>
          <w:kern w:val="0"/>
          <w:sz w:val="32"/>
          <w:szCs w:val="32"/>
        </w:rPr>
      </w:pPr>
    </w:p>
    <w:p w14:paraId="4211B14B">
      <w:pPr>
        <w:widowControl/>
        <w:snapToGrid w:val="0"/>
        <w:spacing w:line="500" w:lineRule="exact"/>
        <w:jc w:val="center"/>
        <w:rPr>
          <w:b/>
          <w:bCs/>
          <w:kern w:val="0"/>
          <w:sz w:val="44"/>
          <w:szCs w:val="44"/>
        </w:rPr>
      </w:pPr>
    </w:p>
    <w:p w14:paraId="08FB9284">
      <w:pPr>
        <w:spacing w:line="500" w:lineRule="exact"/>
        <w:textAlignment w:val="center"/>
        <w:rPr>
          <w:b/>
          <w:bCs/>
          <w:sz w:val="24"/>
        </w:rPr>
      </w:pPr>
    </w:p>
    <w:p w14:paraId="15557D27">
      <w:pPr>
        <w:pStyle w:val="33"/>
        <w:rPr>
          <w:b/>
          <w:bCs/>
          <w:color w:val="auto"/>
        </w:rPr>
      </w:pPr>
    </w:p>
    <w:p w14:paraId="112C7345">
      <w:pPr>
        <w:rPr>
          <w:b/>
          <w:kern w:val="0"/>
          <w:sz w:val="32"/>
          <w:szCs w:val="32"/>
        </w:rPr>
      </w:pPr>
      <w:r>
        <w:rPr>
          <w:b/>
          <w:kern w:val="0"/>
          <w:sz w:val="32"/>
          <w:szCs w:val="32"/>
        </w:rPr>
        <w:br w:type="page"/>
      </w:r>
    </w:p>
    <w:p w14:paraId="52F5F4B5">
      <w:pPr>
        <w:widowControl/>
        <w:snapToGrid w:val="0"/>
        <w:spacing w:line="500" w:lineRule="exact"/>
        <w:jc w:val="center"/>
        <w:rPr>
          <w:b/>
          <w:bCs/>
          <w:kern w:val="0"/>
          <w:sz w:val="44"/>
          <w:szCs w:val="44"/>
        </w:rPr>
      </w:pPr>
      <w:r>
        <w:rPr>
          <w:b/>
          <w:bCs/>
          <w:kern w:val="0"/>
          <w:sz w:val="44"/>
          <w:szCs w:val="44"/>
        </w:rPr>
        <w:t xml:space="preserve">第四章  </w:t>
      </w:r>
      <w:bookmarkStart w:id="3" w:name="_Toc208831478"/>
      <w:bookmarkStart w:id="4" w:name="_Toc2781"/>
      <w:r>
        <w:rPr>
          <w:rFonts w:hint="eastAsia"/>
          <w:b/>
          <w:bCs/>
          <w:kern w:val="0"/>
          <w:sz w:val="44"/>
          <w:szCs w:val="44"/>
        </w:rPr>
        <w:t>发包人要求（项目需求）</w:t>
      </w:r>
    </w:p>
    <w:bookmarkEnd w:id="3"/>
    <w:bookmarkEnd w:id="4"/>
    <w:p w14:paraId="79EABCDC">
      <w:pPr>
        <w:kinsoku w:val="0"/>
        <w:overflowPunct w:val="0"/>
        <w:autoSpaceDE w:val="0"/>
        <w:autoSpaceDN w:val="0"/>
        <w:adjustRightInd w:val="0"/>
        <w:snapToGrid w:val="0"/>
        <w:spacing w:line="460" w:lineRule="exact"/>
        <w:ind w:firstLine="422" w:firstLineChars="200"/>
        <w:rPr>
          <w:rFonts w:ascii="宋体" w:hAnsi="宋体" w:cs="宋体"/>
          <w:b/>
          <w:kern w:val="0"/>
          <w:szCs w:val="21"/>
        </w:rPr>
      </w:pPr>
    </w:p>
    <w:p w14:paraId="797E48A1">
      <w:pPr>
        <w:rPr>
          <w:b/>
          <w:bCs/>
          <w:kern w:val="0"/>
          <w:sz w:val="44"/>
          <w:szCs w:val="44"/>
        </w:rPr>
      </w:pPr>
      <w:r>
        <w:rPr>
          <w:rFonts w:hint="eastAsia"/>
          <w:b/>
          <w:bCs/>
          <w:kern w:val="0"/>
          <w:sz w:val="44"/>
          <w:szCs w:val="44"/>
        </w:rPr>
        <w:br w:type="page"/>
      </w:r>
    </w:p>
    <w:p w14:paraId="00E9FD1B">
      <w:pPr>
        <w:widowControl/>
        <w:snapToGrid w:val="0"/>
        <w:spacing w:line="500" w:lineRule="exact"/>
        <w:jc w:val="center"/>
        <w:rPr>
          <w:b/>
          <w:bCs/>
          <w:kern w:val="0"/>
          <w:sz w:val="44"/>
          <w:szCs w:val="44"/>
        </w:rPr>
      </w:pPr>
      <w:r>
        <w:rPr>
          <w:rFonts w:hint="eastAsia"/>
          <w:b/>
          <w:bCs/>
          <w:kern w:val="0"/>
          <w:sz w:val="44"/>
          <w:szCs w:val="44"/>
        </w:rPr>
        <w:t>第五章  合同条款及格式</w:t>
      </w:r>
    </w:p>
    <w:p w14:paraId="0CD55FF1">
      <w:pPr>
        <w:pStyle w:val="33"/>
        <w:rPr>
          <w:color w:val="auto"/>
        </w:rPr>
      </w:pPr>
    </w:p>
    <w:p w14:paraId="362AF5C1">
      <w:pPr>
        <w:pStyle w:val="33"/>
        <w:rPr>
          <w:color w:val="auto"/>
        </w:rPr>
      </w:pPr>
    </w:p>
    <w:p w14:paraId="37C316A4">
      <w:pPr>
        <w:pStyle w:val="8"/>
        <w:rPr>
          <w:b/>
          <w:sz w:val="20"/>
        </w:rPr>
      </w:pPr>
    </w:p>
    <w:p w14:paraId="36A239E2">
      <w:pPr>
        <w:pStyle w:val="11"/>
        <w:ind w:left="0" w:leftChars="0" w:firstLine="0" w:firstLineChars="0"/>
        <w:jc w:val="center"/>
        <w:rPr>
          <w:rFonts w:hint="eastAsia" w:ascii="Times New Roman" w:hAnsi="Times New Roman" w:eastAsia="宋体" w:cs="Times New Roman"/>
          <w:b/>
          <w:bCs/>
          <w:color w:val="auto"/>
          <w:kern w:val="2"/>
          <w:sz w:val="36"/>
          <w:szCs w:val="36"/>
          <w:u w:val="single"/>
          <w:lang w:val="en-US" w:eastAsia="zh-CN" w:bidi="ar-SA"/>
        </w:rPr>
      </w:pPr>
      <w:r>
        <w:rPr>
          <w:rFonts w:hint="eastAsia" w:ascii="Times New Roman" w:hAnsi="Times New Roman" w:cs="Times New Roman"/>
          <w:b/>
          <w:bCs/>
          <w:color w:val="auto"/>
          <w:kern w:val="2"/>
          <w:sz w:val="36"/>
          <w:szCs w:val="36"/>
          <w:u w:val="single"/>
          <w:lang w:val="en-US" w:eastAsia="zh-CN" w:bidi="ar-SA"/>
        </w:rPr>
        <w:t>邻里中心宿舍楼门禁系统采购项目</w:t>
      </w:r>
    </w:p>
    <w:p w14:paraId="5938B1DD">
      <w:pPr>
        <w:spacing w:line="360" w:lineRule="auto"/>
        <w:jc w:val="center"/>
        <w:rPr>
          <w:rFonts w:ascii="宋体" w:hAnsi="宋体"/>
          <w:b/>
          <w:bCs/>
          <w:sz w:val="24"/>
        </w:rPr>
      </w:pPr>
    </w:p>
    <w:p w14:paraId="4AF2510F">
      <w:pPr>
        <w:pStyle w:val="33"/>
        <w:rPr>
          <w:rFonts w:ascii="宋体" w:hAnsi="宋体" w:cs="Times New Roman"/>
          <w:b/>
          <w:bCs/>
          <w:color w:val="auto"/>
          <w:sz w:val="52"/>
          <w:szCs w:val="52"/>
        </w:rPr>
      </w:pPr>
    </w:p>
    <w:p w14:paraId="1379F62D">
      <w:pPr>
        <w:spacing w:line="360" w:lineRule="auto"/>
        <w:jc w:val="center"/>
        <w:rPr>
          <w:rFonts w:ascii="宋体" w:hAnsi="宋体"/>
          <w:b/>
          <w:bCs/>
          <w:sz w:val="52"/>
          <w:szCs w:val="52"/>
        </w:rPr>
      </w:pPr>
    </w:p>
    <w:p w14:paraId="6A1651AD">
      <w:pPr>
        <w:spacing w:line="360" w:lineRule="auto"/>
        <w:jc w:val="center"/>
        <w:rPr>
          <w:rFonts w:ascii="宋体" w:hAnsi="宋体"/>
          <w:b/>
          <w:bCs/>
          <w:sz w:val="72"/>
          <w:szCs w:val="72"/>
        </w:rPr>
      </w:pPr>
      <w:r>
        <w:rPr>
          <w:rFonts w:hint="eastAsia" w:ascii="宋体" w:hAnsi="宋体"/>
          <w:b/>
          <w:sz w:val="56"/>
          <w:szCs w:val="56"/>
        </w:rPr>
        <w:t>合  同  书</w:t>
      </w:r>
    </w:p>
    <w:p w14:paraId="15A08C23">
      <w:pPr>
        <w:spacing w:line="360" w:lineRule="auto"/>
        <w:rPr>
          <w:rFonts w:ascii="宋体" w:hAnsi="宋体"/>
          <w:b/>
          <w:bCs/>
          <w:sz w:val="24"/>
        </w:rPr>
      </w:pPr>
    </w:p>
    <w:p w14:paraId="1021049C">
      <w:pPr>
        <w:spacing w:line="360" w:lineRule="auto"/>
        <w:rPr>
          <w:rFonts w:ascii="宋体" w:hAnsi="宋体"/>
          <w:b/>
          <w:bCs/>
          <w:sz w:val="24"/>
        </w:rPr>
      </w:pPr>
    </w:p>
    <w:p w14:paraId="4CEE360A">
      <w:pPr>
        <w:spacing w:line="360" w:lineRule="auto"/>
        <w:rPr>
          <w:rFonts w:ascii="宋体" w:hAnsi="宋体"/>
          <w:b/>
          <w:bCs/>
          <w:sz w:val="24"/>
        </w:rPr>
      </w:pPr>
    </w:p>
    <w:p w14:paraId="72411602">
      <w:pPr>
        <w:spacing w:line="360" w:lineRule="auto"/>
        <w:ind w:firstLine="1968" w:firstLineChars="700"/>
        <w:rPr>
          <w:rFonts w:ascii="宋体" w:hAnsi="宋体"/>
          <w:b/>
          <w:sz w:val="28"/>
          <w:szCs w:val="28"/>
          <w:lang w:val="en-GB"/>
        </w:rPr>
      </w:pPr>
      <w:r>
        <w:rPr>
          <w:rFonts w:hint="eastAsia" w:ascii="宋体" w:hAnsi="宋体"/>
          <w:b/>
          <w:sz w:val="28"/>
          <w:szCs w:val="28"/>
        </w:rPr>
        <w:t>采购单位：</w:t>
      </w:r>
      <w:r>
        <w:rPr>
          <w:rFonts w:hint="eastAsia" w:ascii="宋体" w:hAnsi="宋体" w:cs="宋体"/>
          <w:szCs w:val="21"/>
          <w:u w:val="single"/>
        </w:rPr>
        <w:t xml:space="preserve">                        </w:t>
      </w:r>
    </w:p>
    <w:p w14:paraId="285FE5A0">
      <w:pPr>
        <w:spacing w:line="360" w:lineRule="auto"/>
        <w:ind w:firstLine="1968" w:firstLineChars="700"/>
        <w:rPr>
          <w:rFonts w:ascii="宋体" w:hAnsi="宋体"/>
          <w:b/>
          <w:sz w:val="28"/>
          <w:szCs w:val="28"/>
        </w:rPr>
      </w:pPr>
    </w:p>
    <w:p w14:paraId="4842A20C">
      <w:pPr>
        <w:spacing w:line="360" w:lineRule="auto"/>
        <w:ind w:firstLine="1968" w:firstLineChars="700"/>
        <w:rPr>
          <w:rFonts w:ascii="宋体" w:hAnsi="宋体"/>
          <w:b/>
          <w:sz w:val="28"/>
          <w:szCs w:val="28"/>
        </w:rPr>
      </w:pPr>
    </w:p>
    <w:p w14:paraId="4CB94A18">
      <w:pPr>
        <w:spacing w:line="360" w:lineRule="auto"/>
        <w:ind w:firstLine="1968" w:firstLineChars="700"/>
        <w:rPr>
          <w:rFonts w:ascii="宋体" w:hAnsi="宋体"/>
          <w:b/>
          <w:sz w:val="28"/>
          <w:szCs w:val="28"/>
          <w:lang w:val="en-GB"/>
        </w:rPr>
      </w:pPr>
      <w:r>
        <w:rPr>
          <w:rFonts w:hint="eastAsia" w:ascii="宋体" w:hAnsi="宋体"/>
          <w:b/>
          <w:sz w:val="28"/>
          <w:szCs w:val="28"/>
        </w:rPr>
        <w:t>供货单位</w:t>
      </w:r>
      <w:r>
        <w:rPr>
          <w:rFonts w:hint="eastAsia" w:ascii="宋体" w:hAnsi="宋体"/>
          <w:b/>
          <w:sz w:val="28"/>
          <w:szCs w:val="28"/>
          <w:lang w:val="en-GB"/>
        </w:rPr>
        <w:t>：</w:t>
      </w:r>
      <w:r>
        <w:rPr>
          <w:rFonts w:hint="eastAsia" w:ascii="宋体" w:hAnsi="宋体" w:cs="宋体"/>
          <w:szCs w:val="21"/>
          <w:u w:val="single"/>
        </w:rPr>
        <w:t xml:space="preserve">                        </w:t>
      </w:r>
    </w:p>
    <w:p w14:paraId="3D089428">
      <w:pPr>
        <w:spacing w:line="360" w:lineRule="auto"/>
        <w:jc w:val="center"/>
        <w:rPr>
          <w:rFonts w:ascii="宋体" w:hAnsi="宋体"/>
          <w:b/>
          <w:sz w:val="28"/>
          <w:szCs w:val="28"/>
        </w:rPr>
      </w:pPr>
    </w:p>
    <w:p w14:paraId="5A427AF6">
      <w:pPr>
        <w:pStyle w:val="33"/>
        <w:rPr>
          <w:rFonts w:ascii="宋体" w:hAnsi="宋体"/>
          <w:b/>
          <w:color w:val="auto"/>
          <w:sz w:val="28"/>
          <w:szCs w:val="28"/>
        </w:rPr>
      </w:pPr>
    </w:p>
    <w:p w14:paraId="16D069F9">
      <w:pPr>
        <w:pStyle w:val="33"/>
        <w:rPr>
          <w:rFonts w:ascii="宋体" w:hAnsi="宋体"/>
          <w:b/>
          <w:color w:val="auto"/>
          <w:sz w:val="28"/>
          <w:szCs w:val="28"/>
        </w:rPr>
      </w:pPr>
    </w:p>
    <w:p w14:paraId="0D59DFDC">
      <w:pPr>
        <w:pStyle w:val="33"/>
        <w:rPr>
          <w:rFonts w:ascii="宋体" w:hAnsi="宋体"/>
          <w:b/>
          <w:color w:val="auto"/>
          <w:sz w:val="28"/>
          <w:szCs w:val="28"/>
        </w:rPr>
      </w:pPr>
    </w:p>
    <w:p w14:paraId="35530BE9">
      <w:pPr>
        <w:pStyle w:val="33"/>
        <w:rPr>
          <w:rFonts w:ascii="宋体" w:hAnsi="宋体"/>
          <w:b/>
          <w:color w:val="auto"/>
          <w:sz w:val="28"/>
          <w:szCs w:val="28"/>
        </w:rPr>
      </w:pPr>
    </w:p>
    <w:p w14:paraId="329BCF25">
      <w:pPr>
        <w:pStyle w:val="33"/>
        <w:rPr>
          <w:rFonts w:ascii="宋体" w:hAnsi="宋体"/>
          <w:b/>
          <w:color w:val="auto"/>
          <w:sz w:val="28"/>
          <w:szCs w:val="28"/>
        </w:rPr>
      </w:pPr>
    </w:p>
    <w:p w14:paraId="1C01C61E">
      <w:pPr>
        <w:pStyle w:val="33"/>
        <w:rPr>
          <w:rFonts w:ascii="宋体" w:hAnsi="宋体"/>
          <w:b/>
          <w:color w:val="auto"/>
          <w:sz w:val="28"/>
          <w:szCs w:val="28"/>
        </w:rPr>
      </w:pPr>
    </w:p>
    <w:p w14:paraId="5CCBB166">
      <w:pPr>
        <w:spacing w:line="360" w:lineRule="auto"/>
        <w:jc w:val="center"/>
        <w:rPr>
          <w:rFonts w:ascii="宋体" w:hAnsi="宋体"/>
          <w:b/>
          <w:bCs/>
          <w:sz w:val="28"/>
          <w:szCs w:val="28"/>
        </w:rPr>
      </w:pPr>
      <w:r>
        <w:rPr>
          <w:rFonts w:hint="eastAsia" w:ascii="宋体" w:hAnsi="宋体" w:cs="宋体"/>
          <w:szCs w:val="21"/>
          <w:u w:val="single"/>
        </w:rPr>
        <w:t xml:space="preserve">  </w:t>
      </w:r>
      <w:r>
        <w:rPr>
          <w:rFonts w:hint="eastAsia" w:ascii="宋体" w:hAnsi="宋体"/>
          <w:b/>
          <w:bCs/>
          <w:sz w:val="28"/>
          <w:szCs w:val="28"/>
          <w:u w:val="single"/>
        </w:rPr>
        <w:t>二〇二</w:t>
      </w:r>
      <w:r>
        <w:rPr>
          <w:rFonts w:hint="eastAsia" w:ascii="宋体" w:hAnsi="宋体"/>
          <w:b/>
          <w:bCs/>
          <w:color w:val="auto"/>
          <w:sz w:val="28"/>
          <w:szCs w:val="28"/>
          <w:u w:val="single"/>
        </w:rPr>
        <w:t>五</w:t>
      </w:r>
      <w:r>
        <w:rPr>
          <w:rFonts w:hint="eastAsia" w:ascii="宋体" w:hAnsi="宋体" w:cs="宋体"/>
          <w:szCs w:val="21"/>
          <w:u w:val="single"/>
        </w:rPr>
        <w:t xml:space="preserve"> </w:t>
      </w:r>
      <w:r>
        <w:rPr>
          <w:rFonts w:hint="eastAsia" w:ascii="宋体" w:hAnsi="宋体"/>
          <w:b/>
          <w:bCs/>
          <w:sz w:val="28"/>
          <w:szCs w:val="28"/>
        </w:rPr>
        <w:t>年</w:t>
      </w:r>
      <w:r>
        <w:rPr>
          <w:rFonts w:hint="eastAsia" w:ascii="宋体" w:hAnsi="宋体" w:cs="宋体"/>
          <w:szCs w:val="21"/>
          <w:u w:val="single"/>
        </w:rPr>
        <w:t xml:space="preserve">         </w:t>
      </w:r>
      <w:r>
        <w:rPr>
          <w:rFonts w:hint="eastAsia" w:ascii="宋体" w:hAnsi="宋体"/>
          <w:b/>
          <w:bCs/>
          <w:sz w:val="28"/>
          <w:szCs w:val="28"/>
        </w:rPr>
        <w:t>月</w:t>
      </w:r>
    </w:p>
    <w:p w14:paraId="7DBA49EA">
      <w:pPr>
        <w:pStyle w:val="33"/>
        <w:rPr>
          <w:color w:val="auto"/>
        </w:rPr>
      </w:pPr>
    </w:p>
    <w:p w14:paraId="5E168C47">
      <w:pPr>
        <w:pStyle w:val="33"/>
        <w:rPr>
          <w:color w:val="auto"/>
        </w:rPr>
      </w:pPr>
    </w:p>
    <w:p w14:paraId="767298B7">
      <w:pPr>
        <w:widowControl/>
        <w:jc w:val="left"/>
        <w:rPr>
          <w:rFonts w:ascii="宋体" w:hAnsi="宋体" w:cs="楷体_GB2312"/>
          <w:szCs w:val="21"/>
        </w:rPr>
      </w:pPr>
      <w:r>
        <w:rPr>
          <w:rFonts w:ascii="宋体" w:hAnsi="宋体" w:cs="楷体_GB2312"/>
          <w:szCs w:val="21"/>
        </w:rPr>
        <w:br w:type="page"/>
      </w:r>
    </w:p>
    <w:p w14:paraId="27875234">
      <w:pPr>
        <w:spacing w:line="420" w:lineRule="exact"/>
        <w:ind w:firstLine="420" w:firstLineChars="200"/>
        <w:jc w:val="left"/>
        <w:rPr>
          <w:rFonts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b/>
          <w:bCs/>
          <w:szCs w:val="21"/>
          <w:u w:val="single"/>
        </w:rPr>
        <w:t>盐城市海兴控股集团有限公司</w:t>
      </w:r>
      <w:r>
        <w:rPr>
          <w:rFonts w:hint="eastAsia" w:ascii="宋体" w:hAnsi="宋体" w:cs="宋体"/>
          <w:szCs w:val="21"/>
          <w:u w:val="single"/>
        </w:rPr>
        <w:t xml:space="preserve">  </w:t>
      </w:r>
    </w:p>
    <w:p w14:paraId="7F6DFF1E">
      <w:pPr>
        <w:spacing w:line="420" w:lineRule="exact"/>
        <w:ind w:firstLine="420" w:firstLineChars="200"/>
        <w:jc w:val="left"/>
        <w:rPr>
          <w:rFonts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76B9ADA9">
      <w:pPr>
        <w:spacing w:line="420" w:lineRule="exact"/>
        <w:ind w:firstLine="420" w:firstLineChars="200"/>
        <w:jc w:val="left"/>
        <w:rPr>
          <w:rFonts w:ascii="宋体" w:hAnsi="宋体" w:cs="宋体"/>
          <w:szCs w:val="21"/>
        </w:rPr>
      </w:pPr>
      <w:r>
        <w:rPr>
          <w:rFonts w:hint="eastAsia" w:ascii="宋体" w:hAnsi="宋体" w:cs="宋体"/>
          <w:szCs w:val="21"/>
        </w:rPr>
        <w:t>根据《中华人民共和国民法典》的规定，合同双方就乙方向甲方提供</w:t>
      </w:r>
      <w:r>
        <w:rPr>
          <w:rFonts w:hint="eastAsia" w:hAnsi="宋体" w:cs="宋体"/>
          <w:u w:val="single"/>
        </w:rPr>
        <w:t xml:space="preserve"> </w:t>
      </w:r>
      <w:r>
        <w:rPr>
          <w:rFonts w:hint="eastAsia" w:hAnsi="宋体" w:cs="宋体"/>
          <w:bCs/>
          <w:u w:val="single"/>
          <w:lang w:eastAsia="zh-CN"/>
        </w:rPr>
        <w:t>邻里中心宿舍楼门禁系统采购项目</w:t>
      </w:r>
      <w:r>
        <w:rPr>
          <w:rFonts w:hint="eastAsia" w:hAnsi="宋体" w:cs="宋体"/>
          <w:u w:val="single"/>
        </w:rPr>
        <w:t xml:space="preserve"> </w:t>
      </w:r>
      <w:r>
        <w:rPr>
          <w:rFonts w:hint="eastAsia" w:ascii="宋体" w:hAnsi="宋体" w:cs="宋体"/>
          <w:szCs w:val="21"/>
        </w:rPr>
        <w:t xml:space="preserve">事宜，经协商达成一致，确立本合同，以明确双方的权利、义务，确保合同双方共同执行。 </w:t>
      </w:r>
    </w:p>
    <w:p w14:paraId="33ED1523">
      <w:pPr>
        <w:pStyle w:val="15"/>
        <w:snapToGrid w:val="0"/>
        <w:spacing w:line="420" w:lineRule="exact"/>
        <w:ind w:firstLine="422" w:firstLineChars="200"/>
        <w:jc w:val="left"/>
        <w:rPr>
          <w:rFonts w:hAnsi="宋体" w:cs="宋体"/>
          <w:b/>
        </w:rPr>
      </w:pPr>
      <w:bookmarkStart w:id="5" w:name="_Toc32665"/>
      <w:r>
        <w:rPr>
          <w:rFonts w:hint="eastAsia" w:hAnsi="宋体" w:cs="宋体"/>
          <w:b/>
        </w:rPr>
        <w:t>一、项目概况</w:t>
      </w:r>
    </w:p>
    <w:p w14:paraId="2E17A701">
      <w:pPr>
        <w:pStyle w:val="15"/>
        <w:snapToGrid w:val="0"/>
        <w:spacing w:line="420" w:lineRule="exact"/>
        <w:ind w:firstLine="420" w:firstLineChars="200"/>
        <w:jc w:val="left"/>
        <w:rPr>
          <w:rFonts w:hAnsi="宋体" w:cs="宋体"/>
          <w:bCs/>
        </w:rPr>
      </w:pPr>
      <w:r>
        <w:rPr>
          <w:rFonts w:hint="eastAsia" w:hAnsi="宋体" w:cs="宋体"/>
          <w:bCs/>
        </w:rPr>
        <w:t>1.1项目名称：</w:t>
      </w:r>
      <w:r>
        <w:rPr>
          <w:rFonts w:hint="eastAsia" w:hAnsi="宋体" w:cs="宋体"/>
          <w:bCs/>
          <w:u w:val="single"/>
          <w:lang w:eastAsia="zh-CN"/>
        </w:rPr>
        <w:t>邻里中心宿舍楼门禁系统采购项目</w:t>
      </w:r>
      <w:r>
        <w:rPr>
          <w:rFonts w:hint="eastAsia" w:hAnsi="宋体" w:cs="宋体"/>
          <w:bCs/>
        </w:rPr>
        <w:t>。</w:t>
      </w:r>
    </w:p>
    <w:p w14:paraId="467C3EFE">
      <w:pPr>
        <w:pStyle w:val="15"/>
        <w:snapToGrid w:val="0"/>
        <w:spacing w:line="420" w:lineRule="exact"/>
        <w:ind w:firstLine="420" w:firstLineChars="200"/>
        <w:jc w:val="left"/>
        <w:rPr>
          <w:rFonts w:hAnsi="宋体" w:cs="宋体"/>
          <w:bCs/>
        </w:rPr>
      </w:pPr>
      <w:r>
        <w:rPr>
          <w:rFonts w:hint="eastAsia" w:hAnsi="宋体" w:cs="宋体"/>
          <w:bCs/>
        </w:rPr>
        <w:t>1.2项目地点：</w:t>
      </w:r>
      <w:r>
        <w:rPr>
          <w:rFonts w:hint="eastAsia"/>
          <w:u w:val="single"/>
        </w:rPr>
        <w:t>江苏省盐城市滨海县新滩邻里中心</w:t>
      </w:r>
      <w:r>
        <w:rPr>
          <w:rFonts w:hint="eastAsia" w:hAnsi="宋体" w:cs="宋体"/>
          <w:bCs/>
        </w:rPr>
        <w:t>。</w:t>
      </w:r>
    </w:p>
    <w:p w14:paraId="4534D5E6">
      <w:pPr>
        <w:spacing w:line="420" w:lineRule="exact"/>
        <w:ind w:firstLine="420" w:firstLineChars="200"/>
        <w:textAlignment w:val="center"/>
        <w:rPr>
          <w:rFonts w:ascii="宋体" w:hAnsi="宋体" w:cs="宋体"/>
          <w:szCs w:val="21"/>
          <w:u w:val="single"/>
        </w:rPr>
      </w:pPr>
      <w:r>
        <w:rPr>
          <w:rFonts w:hint="eastAsia" w:ascii="宋体" w:hAnsi="宋体" w:cs="宋体"/>
          <w:bCs/>
          <w:szCs w:val="21"/>
        </w:rPr>
        <w:t>1.3项目内容：</w:t>
      </w:r>
      <w:r>
        <w:rPr>
          <w:rFonts w:hint="eastAsia" w:ascii="宋体" w:hAnsi="宋体" w:cs="宋体"/>
          <w:szCs w:val="21"/>
          <w:u w:val="single"/>
        </w:rPr>
        <w:t>新滩邻里中心宿舍楼安装门禁系统，共23个单元，其中高层宿舍需更换7个单元门，具体详见工程量清单，招标人保留对上述招标范围进行适当调整的权利。</w:t>
      </w:r>
    </w:p>
    <w:p w14:paraId="09947989">
      <w:pPr>
        <w:pStyle w:val="15"/>
        <w:snapToGrid w:val="0"/>
        <w:spacing w:line="420" w:lineRule="exact"/>
        <w:ind w:firstLine="420" w:firstLineChars="200"/>
        <w:jc w:val="left"/>
        <w:rPr>
          <w:rFonts w:hAnsi="宋体" w:cs="宋体"/>
          <w:u w:val="single"/>
        </w:rPr>
      </w:pPr>
      <w:r>
        <w:rPr>
          <w:rFonts w:hint="eastAsia" w:hAnsi="宋体" w:cs="宋体"/>
          <w:bCs/>
        </w:rPr>
        <w:t>1.4</w:t>
      </w:r>
      <w:r>
        <w:rPr>
          <w:rFonts w:hint="eastAsia"/>
          <w:kern w:val="0"/>
        </w:rPr>
        <w:t>质量标准：</w:t>
      </w:r>
      <w:r>
        <w:rPr>
          <w:rFonts w:hint="eastAsia" w:hAnsi="宋体" w:cs="宋体"/>
          <w:u w:val="single"/>
        </w:rPr>
        <w:t>合格。</w:t>
      </w:r>
    </w:p>
    <w:p w14:paraId="431D7705">
      <w:pPr>
        <w:pStyle w:val="15"/>
        <w:snapToGrid w:val="0"/>
        <w:spacing w:line="420" w:lineRule="exact"/>
        <w:ind w:firstLine="422" w:firstLineChars="200"/>
        <w:jc w:val="left"/>
        <w:rPr>
          <w:rFonts w:hAnsi="宋体" w:cs="宋体"/>
          <w:b/>
        </w:rPr>
      </w:pPr>
      <w:r>
        <w:rPr>
          <w:rFonts w:hint="eastAsia" w:hAnsi="宋体" w:cs="宋体"/>
          <w:b/>
        </w:rPr>
        <w:t>二、合同金额</w:t>
      </w:r>
    </w:p>
    <w:p w14:paraId="48D38635">
      <w:pPr>
        <w:pStyle w:val="15"/>
        <w:snapToGrid w:val="0"/>
        <w:spacing w:line="420" w:lineRule="exact"/>
        <w:ind w:firstLine="420" w:firstLineChars="200"/>
        <w:jc w:val="left"/>
        <w:rPr>
          <w:rFonts w:hAnsi="宋体" w:cs="宋体"/>
        </w:rPr>
      </w:pPr>
      <w:r>
        <w:rPr>
          <w:rFonts w:hint="eastAsia" w:hAnsi="宋体" w:cs="宋体"/>
        </w:rPr>
        <w:t>2.1本合同金额为：人民币（大写）</w:t>
      </w:r>
      <w:r>
        <w:rPr>
          <w:rFonts w:hint="eastAsia" w:hAnsi="宋体" w:cs="宋体"/>
          <w:u w:val="single"/>
        </w:rPr>
        <w:t xml:space="preserve">            </w:t>
      </w:r>
      <w:r>
        <w:rPr>
          <w:rFonts w:hint="eastAsia" w:hAnsi="宋体" w:cs="宋体"/>
        </w:rPr>
        <w:t>（¥：</w:t>
      </w:r>
      <w:r>
        <w:rPr>
          <w:rFonts w:hint="eastAsia" w:hAnsi="宋体" w:cs="宋体"/>
          <w:u w:val="single"/>
        </w:rPr>
        <w:t xml:space="preserve">             </w:t>
      </w:r>
      <w:r>
        <w:rPr>
          <w:rFonts w:hint="eastAsia" w:hAnsi="宋体" w:cs="宋体"/>
        </w:rPr>
        <w:t>元）（含税）；</w:t>
      </w:r>
    </w:p>
    <w:p w14:paraId="54C3A7AF">
      <w:pPr>
        <w:pStyle w:val="15"/>
        <w:snapToGrid w:val="0"/>
        <w:spacing w:line="420" w:lineRule="exact"/>
        <w:ind w:firstLine="420" w:firstLineChars="200"/>
        <w:jc w:val="left"/>
        <w:rPr>
          <w:rFonts w:hAnsi="宋体" w:cs="宋体"/>
        </w:rPr>
      </w:pPr>
      <w:r>
        <w:rPr>
          <w:rFonts w:hint="eastAsia" w:hAnsi="宋体" w:cs="宋体"/>
        </w:rPr>
        <w:t>本项目税率为：</w:t>
      </w:r>
      <w:r>
        <w:rPr>
          <w:rFonts w:hint="eastAsia" w:hAnsi="宋体" w:cs="宋体"/>
          <w:lang w:val="en-US" w:eastAsia="zh-CN"/>
        </w:rPr>
        <w:t>9</w:t>
      </w:r>
      <w:r>
        <w:rPr>
          <w:rFonts w:hint="eastAsia" w:hAnsi="宋体" w:cs="宋体"/>
        </w:rPr>
        <w:t>%；</w:t>
      </w:r>
    </w:p>
    <w:p w14:paraId="373C08B6">
      <w:pPr>
        <w:pStyle w:val="15"/>
        <w:snapToGrid w:val="0"/>
        <w:spacing w:line="420" w:lineRule="exact"/>
        <w:ind w:firstLine="420" w:firstLineChars="200"/>
        <w:jc w:val="left"/>
        <w:rPr>
          <w:rFonts w:hAnsi="宋体" w:cs="宋体"/>
        </w:rPr>
      </w:pPr>
      <w:r>
        <w:rPr>
          <w:rFonts w:hint="eastAsia" w:hAnsi="宋体" w:cs="宋体"/>
        </w:rPr>
        <w:t>不含税合同金额暂定为:人民币（大写）</w:t>
      </w:r>
      <w:r>
        <w:rPr>
          <w:rFonts w:hint="eastAsia" w:hAnsi="宋体" w:cs="宋体"/>
          <w:u w:val="single"/>
        </w:rPr>
        <w:t xml:space="preserve">           </w:t>
      </w:r>
      <w:r>
        <w:rPr>
          <w:rFonts w:hint="eastAsia" w:hAnsi="宋体" w:cs="宋体"/>
        </w:rPr>
        <w:t>（¥：</w:t>
      </w:r>
      <w:r>
        <w:rPr>
          <w:rFonts w:hint="eastAsia" w:hAnsi="宋体" w:cs="宋体"/>
          <w:u w:val="single"/>
        </w:rPr>
        <w:t xml:space="preserve">             </w:t>
      </w:r>
      <w:r>
        <w:rPr>
          <w:rFonts w:hint="eastAsia" w:hAnsi="宋体" w:cs="宋体"/>
        </w:rPr>
        <w:t>元）；</w:t>
      </w:r>
    </w:p>
    <w:p w14:paraId="3BAB67AC">
      <w:pPr>
        <w:pStyle w:val="15"/>
        <w:snapToGrid w:val="0"/>
        <w:spacing w:line="420" w:lineRule="exact"/>
        <w:ind w:firstLine="420" w:firstLineChars="200"/>
        <w:jc w:val="left"/>
        <w:rPr>
          <w:rFonts w:hAnsi="宋体" w:cs="宋体"/>
        </w:rPr>
      </w:pPr>
      <w:r>
        <w:rPr>
          <w:rFonts w:hint="eastAsia" w:hAnsi="宋体" w:cs="宋体"/>
        </w:rPr>
        <w:t>税金暂定为:人民币（大写）</w:t>
      </w:r>
      <w:r>
        <w:rPr>
          <w:rFonts w:hint="eastAsia" w:hAnsi="宋体" w:cs="宋体"/>
          <w:u w:val="single"/>
        </w:rPr>
        <w:t xml:space="preserve">            </w:t>
      </w:r>
      <w:r>
        <w:rPr>
          <w:rFonts w:hint="eastAsia" w:hAnsi="宋体" w:cs="宋体"/>
        </w:rPr>
        <w:t>（¥：</w:t>
      </w:r>
      <w:r>
        <w:rPr>
          <w:rFonts w:hint="eastAsia" w:hAnsi="宋体" w:cs="宋体"/>
          <w:u w:val="single"/>
        </w:rPr>
        <w:t xml:space="preserve">             </w:t>
      </w:r>
      <w:r>
        <w:rPr>
          <w:rFonts w:hint="eastAsia" w:hAnsi="宋体" w:cs="宋体"/>
        </w:rPr>
        <w:t>元）。</w:t>
      </w:r>
    </w:p>
    <w:p w14:paraId="6132C428">
      <w:pPr>
        <w:pStyle w:val="15"/>
        <w:snapToGrid w:val="0"/>
        <w:spacing w:line="420" w:lineRule="exact"/>
        <w:ind w:firstLine="422" w:firstLineChars="200"/>
        <w:jc w:val="left"/>
        <w:rPr>
          <w:rFonts w:hAnsi="宋体" w:cs="宋体"/>
          <w:b/>
        </w:rPr>
      </w:pPr>
      <w:r>
        <w:rPr>
          <w:rFonts w:hint="eastAsia" w:hAnsi="宋体" w:cs="宋体"/>
          <w:b/>
        </w:rPr>
        <w:t>三、技术资料</w:t>
      </w:r>
    </w:p>
    <w:p w14:paraId="2E1A0B40">
      <w:pPr>
        <w:spacing w:line="420" w:lineRule="exact"/>
        <w:ind w:firstLine="420" w:firstLineChars="200"/>
        <w:jc w:val="left"/>
        <w:rPr>
          <w:rFonts w:ascii="宋体" w:hAnsi="宋体" w:cs="宋体"/>
          <w:bCs/>
          <w:szCs w:val="21"/>
        </w:rPr>
      </w:pPr>
      <w:r>
        <w:rPr>
          <w:rFonts w:hint="eastAsia" w:ascii="宋体" w:hAnsi="宋体" w:cs="宋体"/>
          <w:bCs/>
          <w:szCs w:val="21"/>
        </w:rPr>
        <w:t>3.1乙方应按招标文件规定的时间向甲方提供使用货物的有关技术资料。</w:t>
      </w:r>
    </w:p>
    <w:p w14:paraId="0E6FA1B6">
      <w:pPr>
        <w:spacing w:line="420" w:lineRule="exact"/>
        <w:ind w:firstLine="420" w:firstLineChars="200"/>
        <w:jc w:val="left"/>
        <w:rPr>
          <w:rFonts w:ascii="宋体" w:hAnsi="宋体" w:cs="宋体"/>
          <w:bCs/>
          <w:szCs w:val="21"/>
        </w:rPr>
      </w:pPr>
      <w:r>
        <w:rPr>
          <w:rFonts w:hint="eastAsia" w:ascii="宋体" w:hAnsi="宋体" w:cs="宋体"/>
          <w:bCs/>
          <w:szCs w:val="21"/>
        </w:rPr>
        <w:t>3.2没有甲方事先书面同意，乙方不得将由甲方提供的有关合同或任何合同条文、规格、计划、图纸、样品或资料提供给予履行本合同无关的任何其他人。即使向履行本合同有关的人员提供，也应注意保密并限于履行合同的必需范围。</w:t>
      </w:r>
    </w:p>
    <w:p w14:paraId="3C2B4B7F">
      <w:pPr>
        <w:pStyle w:val="15"/>
        <w:snapToGrid w:val="0"/>
        <w:spacing w:line="420" w:lineRule="exact"/>
        <w:ind w:firstLine="422" w:firstLineChars="200"/>
        <w:jc w:val="left"/>
        <w:rPr>
          <w:rFonts w:hAnsi="宋体" w:cs="宋体"/>
          <w:b/>
        </w:rPr>
      </w:pPr>
      <w:r>
        <w:rPr>
          <w:rFonts w:hint="eastAsia" w:hAnsi="宋体" w:cs="宋体"/>
          <w:b/>
        </w:rPr>
        <w:t>四、知识产权</w:t>
      </w:r>
    </w:p>
    <w:p w14:paraId="467625AF">
      <w:pPr>
        <w:spacing w:line="420" w:lineRule="exact"/>
        <w:ind w:firstLine="420" w:firstLineChars="200"/>
        <w:jc w:val="left"/>
        <w:rPr>
          <w:rFonts w:ascii="宋体" w:hAnsi="宋体" w:cs="宋体"/>
          <w:szCs w:val="21"/>
        </w:rPr>
      </w:pPr>
      <w:r>
        <w:rPr>
          <w:rFonts w:hint="eastAsia" w:ascii="宋体" w:hAnsi="宋体" w:cs="宋体"/>
          <w:bCs/>
          <w:szCs w:val="21"/>
        </w:rPr>
        <w:t>4.1</w:t>
      </w:r>
      <w:r>
        <w:rPr>
          <w:rFonts w:hint="eastAsia" w:ascii="宋体" w:hAnsi="宋体" w:cs="宋体"/>
          <w:szCs w:val="21"/>
        </w:rPr>
        <w:t>乙方应保证甲方在使用、接受本合同货物和服务或其任何一部分时不受第三方提出侵犯其专利权、版权、商标权和工业设计权等知识产权的起诉。一旦出现侵权，由乙方负全部责任。</w:t>
      </w:r>
    </w:p>
    <w:p w14:paraId="771FC3DD">
      <w:pPr>
        <w:pStyle w:val="15"/>
        <w:snapToGrid w:val="0"/>
        <w:spacing w:line="420" w:lineRule="exact"/>
        <w:ind w:firstLine="422" w:firstLineChars="200"/>
        <w:jc w:val="left"/>
        <w:rPr>
          <w:rFonts w:hAnsi="宋体" w:cs="宋体"/>
          <w:u w:val="single"/>
        </w:rPr>
      </w:pPr>
      <w:r>
        <w:rPr>
          <w:rFonts w:hint="eastAsia" w:hAnsi="宋体" w:cs="宋体"/>
          <w:b/>
        </w:rPr>
        <w:t>五、产权担保</w:t>
      </w:r>
    </w:p>
    <w:p w14:paraId="31D7A282">
      <w:pPr>
        <w:pStyle w:val="15"/>
        <w:snapToGrid w:val="0"/>
        <w:spacing w:line="420" w:lineRule="exact"/>
        <w:ind w:firstLine="420" w:firstLineChars="200"/>
        <w:jc w:val="left"/>
        <w:rPr>
          <w:rFonts w:hAnsi="宋体" w:cs="宋体"/>
          <w:u w:val="single"/>
        </w:rPr>
      </w:pPr>
      <w:r>
        <w:rPr>
          <w:rFonts w:hint="eastAsia" w:hAnsi="宋体" w:cs="宋体"/>
        </w:rPr>
        <w:t>5.1乙方保证所交付的货物的所有权完全属于乙方且无任何抵押、查封等产权瑕疵。</w:t>
      </w:r>
    </w:p>
    <w:p w14:paraId="17CBC66B">
      <w:pPr>
        <w:pStyle w:val="15"/>
        <w:snapToGrid w:val="0"/>
        <w:spacing w:line="420" w:lineRule="exact"/>
        <w:ind w:firstLine="422" w:firstLineChars="200"/>
        <w:jc w:val="left"/>
        <w:rPr>
          <w:rFonts w:hAnsi="宋体" w:cs="宋体"/>
          <w:b/>
        </w:rPr>
      </w:pPr>
      <w:r>
        <w:rPr>
          <w:rFonts w:hint="eastAsia" w:hAnsi="宋体" w:cs="宋体"/>
          <w:b/>
        </w:rPr>
        <w:t>六、履约保证金</w:t>
      </w:r>
    </w:p>
    <w:p w14:paraId="6505C371">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6.1本项目履约保证金为</w:t>
      </w:r>
      <w:r>
        <w:rPr>
          <w:rFonts w:hint="eastAsia" w:ascii="宋体" w:hAnsi="宋体" w:cs="宋体"/>
          <w:b/>
          <w:bCs/>
          <w:szCs w:val="21"/>
          <w:u w:val="single"/>
        </w:rPr>
        <w:t>中标价的10%</w:t>
      </w:r>
      <w:r>
        <w:rPr>
          <w:rFonts w:hint="eastAsia" w:ascii="宋体" w:hAnsi="宋体" w:cs="宋体"/>
          <w:szCs w:val="21"/>
        </w:rPr>
        <w:t>，投标人在收到中标通知书后，须在7日内向招标人足额提交履约保证金，否则招标人可以取消其中标资格，给招标人造成损失超过投标保证金数额的，中标人还应当对超过部分予以赔偿。联合体投标的，其投标保证金由牵头人递交，并应符合有关规定。</w:t>
      </w:r>
    </w:p>
    <w:p w14:paraId="4E43081D">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对信用服务机构依据《江苏省企业信用评价指引（试行）》（苏信用办〔2021〕17 号）评定为A AA级及以上的投标人免交50%的履约保证金，合同签订前需提供经市发展改革委（市信用办）备案的第三方信用报告原件彩色扫描件，且信用报告概述页等内容通过“信用盐城网”可查证。以联合体形式投标的，需牵头单位提供 AAA及以上第三方信用报告，方可免交50%的履约保证金。</w:t>
      </w:r>
    </w:p>
    <w:p w14:paraId="1FCFCBD1">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6.2 履约保证金的形式：现金或履约担保或投标人基本账户开户行出具的保函或保险公司保险单，具体形式由投标人自主选择，与此产生的有关费用由中标人承担，格式详见招标文件附件《履约担保格式》。</w:t>
      </w:r>
    </w:p>
    <w:p w14:paraId="4D39CD51">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6.3 履约保证金的期限：与合同工期同步，如实际工期超过合同工期，则延长履约保证金的期限覆盖实际工期。</w:t>
      </w:r>
    </w:p>
    <w:p w14:paraId="0C18F2A6">
      <w:pPr>
        <w:kinsoku w:val="0"/>
        <w:overflowPunct w:val="0"/>
        <w:autoSpaceDE w:val="0"/>
        <w:autoSpaceDN w:val="0"/>
        <w:adjustRightInd w:val="0"/>
        <w:snapToGrid w:val="0"/>
        <w:spacing w:line="420" w:lineRule="exact"/>
        <w:ind w:firstLine="420" w:firstLineChars="200"/>
        <w:rPr>
          <w:rFonts w:hAnsi="宋体" w:cs="宋体"/>
        </w:rPr>
      </w:pPr>
      <w:r>
        <w:rPr>
          <w:rFonts w:hint="eastAsia" w:ascii="宋体" w:hAnsi="宋体" w:cs="宋体"/>
          <w:szCs w:val="21"/>
        </w:rPr>
        <w:t>6.4 履约保证金的退还：</w:t>
      </w:r>
      <w:r>
        <w:rPr>
          <w:rFonts w:hint="eastAsia" w:ascii="宋体" w:hAnsi="宋体" w:cs="宋体"/>
          <w:b/>
          <w:bCs/>
          <w:szCs w:val="21"/>
          <w:u w:val="single"/>
        </w:rPr>
        <w:t>履约保证金在项目交付并验收合格后且无违约情况方可无息退还。</w:t>
      </w:r>
      <w:r>
        <w:rPr>
          <w:rFonts w:hint="eastAsia" w:ascii="宋体" w:hAnsi="宋体" w:cs="宋体"/>
          <w:szCs w:val="21"/>
        </w:rPr>
        <w:t>以现金形式缴纳的履约保证金，退还至投标人的法人基本存款账户；以保函或保险公司保险单形式缴纳的履约保证金按相关协议执行，无需办理退款手续。</w:t>
      </w:r>
    </w:p>
    <w:p w14:paraId="2A3D82A4">
      <w:pPr>
        <w:snapToGrid w:val="0"/>
        <w:spacing w:line="420" w:lineRule="exact"/>
        <w:ind w:firstLine="422" w:firstLineChars="200"/>
        <w:jc w:val="left"/>
        <w:rPr>
          <w:rFonts w:ascii="宋体" w:hAnsi="宋体" w:cs="宋体"/>
          <w:b/>
          <w:szCs w:val="21"/>
        </w:rPr>
      </w:pPr>
      <w:r>
        <w:rPr>
          <w:rFonts w:hint="eastAsia" w:ascii="宋体" w:hAnsi="宋体" w:cs="宋体"/>
          <w:b/>
          <w:szCs w:val="21"/>
        </w:rPr>
        <w:t>七、转包或分包</w:t>
      </w:r>
    </w:p>
    <w:p w14:paraId="4E1483CF">
      <w:pPr>
        <w:snapToGrid w:val="0"/>
        <w:spacing w:line="420" w:lineRule="exact"/>
        <w:ind w:firstLine="420" w:firstLineChars="200"/>
        <w:jc w:val="left"/>
        <w:rPr>
          <w:rFonts w:ascii="宋体" w:hAnsi="宋体" w:cs="宋体"/>
          <w:szCs w:val="21"/>
        </w:rPr>
      </w:pPr>
      <w:r>
        <w:rPr>
          <w:rFonts w:hint="eastAsia" w:ascii="宋体" w:hAnsi="宋体" w:cs="宋体"/>
          <w:szCs w:val="21"/>
        </w:rPr>
        <w:t>7.1本合同范围的货物，应由乙方直接供应，不得转让他人供应；</w:t>
      </w:r>
    </w:p>
    <w:p w14:paraId="6A2D8384">
      <w:pPr>
        <w:snapToGrid w:val="0"/>
        <w:spacing w:line="420" w:lineRule="exact"/>
        <w:ind w:firstLine="420" w:firstLineChars="200"/>
        <w:jc w:val="left"/>
        <w:rPr>
          <w:rFonts w:ascii="宋体" w:hAnsi="宋体" w:cs="宋体"/>
          <w:szCs w:val="21"/>
        </w:rPr>
      </w:pPr>
      <w:r>
        <w:rPr>
          <w:rFonts w:hint="eastAsia" w:ascii="宋体" w:hAnsi="宋体" w:cs="宋体"/>
          <w:szCs w:val="21"/>
        </w:rPr>
        <w:t>7.2除非得到甲方的书面同意，乙方不得部分分包给他人供应。</w:t>
      </w:r>
    </w:p>
    <w:p w14:paraId="05CF7B40">
      <w:pPr>
        <w:snapToGrid w:val="0"/>
        <w:spacing w:line="420" w:lineRule="exact"/>
        <w:ind w:firstLine="420" w:firstLineChars="200"/>
        <w:jc w:val="left"/>
        <w:rPr>
          <w:rFonts w:ascii="宋体" w:hAnsi="宋体" w:cs="宋体"/>
          <w:szCs w:val="21"/>
        </w:rPr>
      </w:pPr>
      <w:r>
        <w:rPr>
          <w:rFonts w:hint="eastAsia" w:ascii="宋体" w:hAnsi="宋体" w:cs="宋体"/>
          <w:szCs w:val="21"/>
        </w:rPr>
        <w:t>7.3乙方不得转包或擅自分包、不得给他人挂靠、不得半途而废，否则甲方有权不予结算费用，乙方已收合同款须退还。一旦发生上述情况之一者，甲方有权立即终止合同并没收履约保证金，并向乙方追偿由此蒙受的经济损失。</w:t>
      </w:r>
    </w:p>
    <w:p w14:paraId="123DE0F4">
      <w:pPr>
        <w:pStyle w:val="15"/>
        <w:snapToGrid w:val="0"/>
        <w:spacing w:line="420" w:lineRule="exact"/>
        <w:ind w:firstLine="422" w:firstLineChars="200"/>
        <w:jc w:val="left"/>
        <w:rPr>
          <w:rFonts w:hAnsi="宋体" w:cs="宋体"/>
        </w:rPr>
      </w:pPr>
      <w:r>
        <w:rPr>
          <w:rFonts w:hint="eastAsia" w:hAnsi="宋体" w:cs="宋体"/>
          <w:b/>
        </w:rPr>
        <w:t>八、质保期及要求</w:t>
      </w:r>
    </w:p>
    <w:p w14:paraId="5C5DB591">
      <w:pPr>
        <w:kinsoku w:val="0"/>
        <w:overflowPunct w:val="0"/>
        <w:autoSpaceDE w:val="0"/>
        <w:autoSpaceDN w:val="0"/>
        <w:adjustRightInd w:val="0"/>
        <w:snapToGrid w:val="0"/>
        <w:spacing w:line="420" w:lineRule="exact"/>
        <w:ind w:firstLine="420" w:firstLineChars="200"/>
        <w:jc w:val="left"/>
        <w:rPr>
          <w:u w:val="single"/>
        </w:rPr>
      </w:pPr>
      <w:r>
        <w:rPr>
          <w:rFonts w:hint="eastAsia" w:ascii="宋体" w:hAnsi="宋体" w:cs="宋体"/>
          <w:szCs w:val="21"/>
        </w:rPr>
        <w:t>8.1</w:t>
      </w:r>
      <w:r>
        <w:rPr>
          <w:rFonts w:hint="eastAsia"/>
          <w:u w:val="single"/>
        </w:rPr>
        <w:t>产品实行“三包”，质保期为2年，自最终验收合格、交付使用之日起计算。在保修期内，一旦发生质量问题，乙方保证在接到通知24小时内响应，2天内赶到现场进行修理、更换或退货，费用由乙方负责。如乙方在接到通知后24小时内没有答复，则视为乙方承认质量问题并承担由此发生的一切费用。保修期间的一切质量问题，更换部件及本身质量原因造成的直接经济损失应全部由乙方负责。</w:t>
      </w:r>
    </w:p>
    <w:p w14:paraId="63CCAD5D">
      <w:pPr>
        <w:pStyle w:val="15"/>
        <w:snapToGrid w:val="0"/>
        <w:spacing w:line="420" w:lineRule="exact"/>
        <w:ind w:firstLine="422" w:firstLineChars="200"/>
        <w:jc w:val="left"/>
        <w:rPr>
          <w:rFonts w:hAnsi="宋体" w:cs="宋体"/>
          <w:b/>
        </w:rPr>
      </w:pPr>
      <w:r>
        <w:rPr>
          <w:rFonts w:hint="eastAsia" w:hAnsi="宋体" w:cs="宋体"/>
          <w:b/>
        </w:rPr>
        <w:t>九、交货期、交货方式及交货地点</w:t>
      </w:r>
    </w:p>
    <w:p w14:paraId="3E8F905A">
      <w:pPr>
        <w:kinsoku w:val="0"/>
        <w:overflowPunct w:val="0"/>
        <w:autoSpaceDE w:val="0"/>
        <w:autoSpaceDN w:val="0"/>
        <w:adjustRightInd w:val="0"/>
        <w:snapToGrid w:val="0"/>
        <w:spacing w:line="420" w:lineRule="exact"/>
        <w:ind w:firstLine="420" w:firstLineChars="200"/>
        <w:jc w:val="left"/>
        <w:rPr>
          <w:rFonts w:ascii="宋体" w:hAnsi="宋体" w:cs="宋体"/>
          <w:szCs w:val="21"/>
          <w:u w:val="single"/>
        </w:rPr>
      </w:pPr>
      <w:r>
        <w:rPr>
          <w:rFonts w:hint="eastAsia" w:ascii="宋体" w:hAnsi="宋体" w:cs="宋体"/>
          <w:bCs/>
          <w:szCs w:val="21"/>
        </w:rPr>
        <w:t>9.1交货期：</w:t>
      </w:r>
      <w:r>
        <w:rPr>
          <w:rFonts w:hint="eastAsia"/>
          <w:u w:val="single"/>
        </w:rPr>
        <w:t>确保在合同签订后15日历天内完成全部采购、供应、运输、安装并确保交付使用</w:t>
      </w:r>
      <w:r>
        <w:rPr>
          <w:rFonts w:hint="eastAsia"/>
        </w:rPr>
        <w:t>。</w:t>
      </w:r>
    </w:p>
    <w:p w14:paraId="5DABA99F">
      <w:pPr>
        <w:pStyle w:val="15"/>
        <w:snapToGrid w:val="0"/>
        <w:spacing w:line="420" w:lineRule="exact"/>
        <w:ind w:firstLine="420" w:firstLineChars="200"/>
        <w:jc w:val="left"/>
        <w:rPr>
          <w:rFonts w:hAnsi="宋体" w:cs="宋体"/>
          <w:bCs/>
        </w:rPr>
      </w:pPr>
      <w:r>
        <w:rPr>
          <w:rFonts w:hint="eastAsia" w:hAnsi="宋体" w:cs="宋体"/>
          <w:bCs/>
        </w:rPr>
        <w:t>9.2交货方式：</w:t>
      </w:r>
      <w:r>
        <w:rPr>
          <w:rFonts w:hint="eastAsia" w:hAnsi="宋体" w:cs="宋体"/>
          <w:u w:val="single"/>
        </w:rPr>
        <w:t xml:space="preserve">送货上门并安装 </w:t>
      </w:r>
    </w:p>
    <w:p w14:paraId="48312B76">
      <w:pPr>
        <w:snapToGrid w:val="0"/>
        <w:spacing w:line="420" w:lineRule="exact"/>
        <w:ind w:firstLine="420" w:firstLineChars="200"/>
        <w:jc w:val="left"/>
        <w:rPr>
          <w:rFonts w:ascii="宋体" w:hAnsi="宋体" w:cs="宋体"/>
          <w:szCs w:val="21"/>
        </w:rPr>
      </w:pPr>
      <w:r>
        <w:rPr>
          <w:rFonts w:hint="eastAsia" w:ascii="宋体" w:hAnsi="宋体" w:cs="宋体"/>
          <w:szCs w:val="21"/>
        </w:rPr>
        <w:t>9.3交货地点：</w:t>
      </w:r>
      <w:r>
        <w:rPr>
          <w:rFonts w:hint="eastAsia" w:ascii="宋体" w:hAnsi="宋体" w:cs="宋体"/>
          <w:szCs w:val="21"/>
          <w:u w:val="single"/>
        </w:rPr>
        <w:t>甲方指定地点</w:t>
      </w:r>
    </w:p>
    <w:p w14:paraId="377CF5C8">
      <w:pPr>
        <w:kinsoku w:val="0"/>
        <w:overflowPunct w:val="0"/>
        <w:autoSpaceDE w:val="0"/>
        <w:autoSpaceDN w:val="0"/>
        <w:adjustRightInd w:val="0"/>
        <w:snapToGrid w:val="0"/>
        <w:spacing w:line="420" w:lineRule="exact"/>
        <w:ind w:firstLine="420" w:firstLineChars="200"/>
        <w:jc w:val="left"/>
        <w:rPr>
          <w:rFonts w:ascii="宋体" w:hAnsi="宋体" w:cs="宋体"/>
          <w:szCs w:val="21"/>
        </w:rPr>
      </w:pPr>
      <w:r>
        <w:rPr>
          <w:rFonts w:hint="eastAsia" w:ascii="宋体" w:hAnsi="宋体" w:cs="宋体"/>
          <w:szCs w:val="21"/>
        </w:rPr>
        <w:t>9.4验收：</w:t>
      </w:r>
      <w:r>
        <w:rPr>
          <w:rFonts w:hint="eastAsia"/>
          <w:u w:val="single"/>
        </w:rPr>
        <w:t>通过主管部门验收</w:t>
      </w:r>
      <w:r>
        <w:rPr>
          <w:rFonts w:hint="eastAsia" w:ascii="宋体" w:hAnsi="宋体" w:cs="宋体"/>
          <w:szCs w:val="21"/>
          <w:u w:val="single"/>
        </w:rPr>
        <w:t>。</w:t>
      </w:r>
    </w:p>
    <w:p w14:paraId="28182A54">
      <w:pPr>
        <w:pStyle w:val="15"/>
        <w:snapToGrid w:val="0"/>
        <w:spacing w:line="420" w:lineRule="exact"/>
        <w:ind w:firstLine="422" w:firstLineChars="200"/>
        <w:jc w:val="left"/>
        <w:rPr>
          <w:rFonts w:hAnsi="宋体" w:cs="宋体"/>
          <w:b/>
        </w:rPr>
      </w:pPr>
      <w:r>
        <w:rPr>
          <w:rFonts w:hint="eastAsia" w:hAnsi="宋体" w:cs="宋体"/>
          <w:b/>
        </w:rPr>
        <w:t>十、货款支付</w:t>
      </w:r>
    </w:p>
    <w:p w14:paraId="47B47AF8">
      <w:pPr>
        <w:kinsoku w:val="0"/>
        <w:overflowPunct w:val="0"/>
        <w:autoSpaceDE w:val="0"/>
        <w:autoSpaceDN w:val="0"/>
        <w:adjustRightInd w:val="0"/>
        <w:snapToGrid w:val="0"/>
        <w:spacing w:line="420" w:lineRule="exact"/>
        <w:ind w:firstLine="420" w:firstLineChars="200"/>
        <w:rPr>
          <w:rFonts w:ascii="宋体" w:hAnsi="宋体" w:cs="宋体"/>
          <w:szCs w:val="21"/>
          <w:u w:val="single"/>
        </w:rPr>
      </w:pPr>
      <w:r>
        <w:rPr>
          <w:rFonts w:hint="eastAsia" w:ascii="宋体" w:hAnsi="宋体" w:cs="宋体"/>
          <w:szCs w:val="21"/>
          <w:u w:val="single"/>
        </w:rPr>
        <w:t>10.1设备采购到货后付至合同价款的50%；</w:t>
      </w:r>
    </w:p>
    <w:p w14:paraId="5939F9C7">
      <w:pPr>
        <w:kinsoku w:val="0"/>
        <w:overflowPunct w:val="0"/>
        <w:autoSpaceDE w:val="0"/>
        <w:autoSpaceDN w:val="0"/>
        <w:adjustRightInd w:val="0"/>
        <w:snapToGrid w:val="0"/>
        <w:spacing w:line="420" w:lineRule="exact"/>
        <w:ind w:firstLine="420" w:firstLineChars="200"/>
        <w:rPr>
          <w:rFonts w:ascii="宋体" w:hAnsi="宋体" w:cs="宋体"/>
          <w:szCs w:val="21"/>
          <w:u w:val="single"/>
        </w:rPr>
      </w:pPr>
      <w:r>
        <w:rPr>
          <w:rFonts w:hint="eastAsia" w:ascii="宋体" w:hAnsi="宋体" w:cs="宋体"/>
          <w:szCs w:val="21"/>
          <w:u w:val="single"/>
        </w:rPr>
        <w:t>10.2供货完毕，安装、调试结束并经相关部门检测、验收合格后付至合同价的95%；</w:t>
      </w:r>
    </w:p>
    <w:p w14:paraId="24949CB1">
      <w:pPr>
        <w:kinsoku w:val="0"/>
        <w:overflowPunct w:val="0"/>
        <w:autoSpaceDE w:val="0"/>
        <w:autoSpaceDN w:val="0"/>
        <w:adjustRightInd w:val="0"/>
        <w:snapToGrid w:val="0"/>
        <w:spacing w:line="420" w:lineRule="exact"/>
        <w:ind w:firstLine="420" w:firstLineChars="200"/>
        <w:rPr>
          <w:rFonts w:ascii="宋体" w:hAnsi="宋体" w:cs="宋体"/>
          <w:szCs w:val="21"/>
          <w:u w:val="single"/>
        </w:rPr>
      </w:pPr>
      <w:r>
        <w:rPr>
          <w:rFonts w:hint="eastAsia" w:ascii="宋体" w:hAnsi="宋体" w:cs="宋体"/>
          <w:szCs w:val="21"/>
          <w:u w:val="single"/>
        </w:rPr>
        <w:t>10.3余款在质保期满后一次性无息付清。</w:t>
      </w:r>
    </w:p>
    <w:p w14:paraId="06327B12">
      <w:pPr>
        <w:kinsoku w:val="0"/>
        <w:overflowPunct w:val="0"/>
        <w:autoSpaceDE w:val="0"/>
        <w:autoSpaceDN w:val="0"/>
        <w:adjustRightInd w:val="0"/>
        <w:snapToGrid w:val="0"/>
        <w:spacing w:line="420" w:lineRule="exact"/>
        <w:ind w:firstLine="420" w:firstLineChars="200"/>
        <w:rPr>
          <w:rFonts w:ascii="宋体" w:hAnsi="宋体" w:cs="宋体"/>
          <w:szCs w:val="21"/>
          <w:u w:val="single"/>
        </w:rPr>
      </w:pPr>
      <w:r>
        <w:rPr>
          <w:rFonts w:hint="eastAsia" w:ascii="宋体" w:hAnsi="宋体" w:cs="宋体"/>
          <w:szCs w:val="21"/>
          <w:u w:val="single"/>
        </w:rPr>
        <w:t>结算时乙方需开具税率为</w:t>
      </w:r>
      <w:r>
        <w:rPr>
          <w:rFonts w:hint="eastAsia" w:ascii="宋体" w:hAnsi="宋体" w:cs="宋体"/>
          <w:szCs w:val="21"/>
          <w:u w:val="single"/>
          <w:lang w:val="en-US" w:eastAsia="zh-CN"/>
        </w:rPr>
        <w:t>9</w:t>
      </w:r>
      <w:r>
        <w:rPr>
          <w:rFonts w:hint="eastAsia" w:ascii="宋体" w:hAnsi="宋体" w:cs="宋体"/>
          <w:szCs w:val="21"/>
          <w:u w:val="single"/>
        </w:rPr>
        <w:t>%的增值税专用发票。（如不能提供（税率为</w:t>
      </w:r>
      <w:r>
        <w:rPr>
          <w:rFonts w:hint="eastAsia" w:ascii="宋体" w:hAnsi="宋体" w:cs="宋体"/>
          <w:szCs w:val="21"/>
          <w:u w:val="single"/>
          <w:lang w:val="en-US" w:eastAsia="zh-CN"/>
        </w:rPr>
        <w:t>9</w:t>
      </w:r>
      <w:r>
        <w:rPr>
          <w:rFonts w:hint="eastAsia" w:ascii="宋体" w:hAnsi="宋体" w:cs="宋体"/>
          <w:szCs w:val="21"/>
          <w:u w:val="single"/>
        </w:rPr>
        <w:t>%）的增值税专用发票，项目结算付款时将按照：中标金额/(1+</w:t>
      </w:r>
      <w:r>
        <w:rPr>
          <w:rFonts w:hint="eastAsia" w:ascii="宋体" w:hAnsi="宋体" w:cs="宋体"/>
          <w:szCs w:val="21"/>
          <w:u w:val="single"/>
          <w:lang w:val="en-US" w:eastAsia="zh-CN"/>
        </w:rPr>
        <w:t>9</w:t>
      </w:r>
      <w:r>
        <w:rPr>
          <w:rFonts w:hint="eastAsia" w:ascii="宋体" w:hAnsi="宋体" w:cs="宋体"/>
          <w:szCs w:val="21"/>
          <w:u w:val="single"/>
        </w:rPr>
        <w:t>%)*(1+提供的发票的对应税率）进行调整结算总价。）</w:t>
      </w:r>
    </w:p>
    <w:p w14:paraId="1949272E">
      <w:pPr>
        <w:snapToGrid w:val="0"/>
        <w:spacing w:line="420" w:lineRule="exact"/>
        <w:ind w:firstLine="422" w:firstLineChars="200"/>
        <w:jc w:val="left"/>
        <w:rPr>
          <w:rFonts w:ascii="宋体" w:hAnsi="宋体" w:cs="宋体"/>
          <w:b/>
          <w:szCs w:val="21"/>
        </w:rPr>
      </w:pPr>
      <w:r>
        <w:rPr>
          <w:rFonts w:hint="eastAsia" w:ascii="宋体" w:hAnsi="宋体" w:cs="宋体"/>
          <w:b/>
          <w:szCs w:val="21"/>
        </w:rPr>
        <w:t>十一、税费</w:t>
      </w:r>
    </w:p>
    <w:p w14:paraId="54962D29">
      <w:pPr>
        <w:snapToGrid w:val="0"/>
        <w:spacing w:line="420" w:lineRule="exact"/>
        <w:ind w:firstLine="420" w:firstLineChars="200"/>
        <w:jc w:val="left"/>
        <w:rPr>
          <w:rFonts w:ascii="宋体" w:hAnsi="宋体" w:cs="宋体"/>
          <w:szCs w:val="21"/>
        </w:rPr>
      </w:pPr>
      <w:r>
        <w:rPr>
          <w:rFonts w:hint="eastAsia" w:ascii="宋体" w:hAnsi="宋体" w:cs="宋体"/>
          <w:szCs w:val="21"/>
        </w:rPr>
        <w:t>11.1本合同执行中相关的一切税费均由乙方负担。</w:t>
      </w:r>
    </w:p>
    <w:p w14:paraId="0056B64E">
      <w:pPr>
        <w:kinsoku w:val="0"/>
        <w:overflowPunct w:val="0"/>
        <w:autoSpaceDE w:val="0"/>
        <w:autoSpaceDN w:val="0"/>
        <w:adjustRightInd w:val="0"/>
        <w:snapToGrid w:val="0"/>
        <w:spacing w:line="420" w:lineRule="exact"/>
        <w:ind w:firstLine="422" w:firstLineChars="200"/>
        <w:rPr>
          <w:rFonts w:ascii="宋体" w:hAnsi="宋体" w:cs="宋体"/>
          <w:b/>
          <w:szCs w:val="21"/>
        </w:rPr>
      </w:pPr>
      <w:r>
        <w:rPr>
          <w:rFonts w:hint="eastAsia" w:ascii="宋体" w:hAnsi="宋体" w:cs="宋体"/>
          <w:b/>
          <w:szCs w:val="21"/>
        </w:rPr>
        <w:t>十二、安装与调试</w:t>
      </w:r>
    </w:p>
    <w:p w14:paraId="1BEE597C">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12.1乙方负责产品的安装，承担与安装项目相关的一切费用（包括食宿等费用）。</w:t>
      </w:r>
    </w:p>
    <w:p w14:paraId="2A9B4247">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12.2安装完毕的产品及其环境应清理干净。</w:t>
      </w:r>
    </w:p>
    <w:p w14:paraId="31E8C8E6">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12.3在安装过程中必须有详细的事故记录与处理报告。</w:t>
      </w:r>
    </w:p>
    <w:p w14:paraId="238A7D8C">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12.4工程施工人员安装过程中必须持有相关施工资格证件。</w:t>
      </w:r>
    </w:p>
    <w:p w14:paraId="14D83BDA">
      <w:pPr>
        <w:kinsoku w:val="0"/>
        <w:overflowPunct w:val="0"/>
        <w:autoSpaceDE w:val="0"/>
        <w:autoSpaceDN w:val="0"/>
        <w:adjustRightInd w:val="0"/>
        <w:snapToGrid w:val="0"/>
        <w:spacing w:line="420" w:lineRule="exact"/>
        <w:ind w:firstLine="413" w:firstLineChars="196"/>
        <w:rPr>
          <w:rFonts w:ascii="宋体" w:hAnsi="宋体" w:cs="宋体"/>
          <w:b/>
          <w:bCs/>
          <w:szCs w:val="21"/>
        </w:rPr>
      </w:pPr>
      <w:r>
        <w:rPr>
          <w:rFonts w:hint="eastAsia" w:ascii="宋体" w:hAnsi="宋体" w:cs="宋体"/>
          <w:b/>
          <w:bCs/>
          <w:iCs/>
          <w:szCs w:val="21"/>
        </w:rPr>
        <w:t>十三、</w:t>
      </w:r>
      <w:r>
        <w:rPr>
          <w:rFonts w:hint="eastAsia" w:ascii="宋体" w:hAnsi="宋体" w:cs="宋体"/>
          <w:b/>
          <w:bCs/>
          <w:szCs w:val="21"/>
        </w:rPr>
        <w:t>检验与验收</w:t>
      </w:r>
    </w:p>
    <w:p w14:paraId="640B09B8">
      <w:pPr>
        <w:kinsoku w:val="0"/>
        <w:overflowPunct w:val="0"/>
        <w:autoSpaceDE w:val="0"/>
        <w:autoSpaceDN w:val="0"/>
        <w:adjustRightInd w:val="0"/>
        <w:snapToGrid w:val="0"/>
        <w:spacing w:line="420" w:lineRule="exact"/>
        <w:ind w:firstLine="411" w:firstLineChars="196"/>
        <w:rPr>
          <w:rFonts w:ascii="宋体" w:hAnsi="宋体" w:cs="宋体"/>
          <w:b/>
          <w:bCs/>
          <w:szCs w:val="21"/>
        </w:rPr>
      </w:pPr>
      <w:r>
        <w:rPr>
          <w:rFonts w:hint="eastAsia" w:ascii="宋体" w:hAnsi="宋体" w:cs="宋体"/>
          <w:szCs w:val="21"/>
        </w:rPr>
        <w:t>13.1在交货前，乙方应对货物的质量、规格、性能、数量和重量等进行详细而全面的检验，并出具一份证明货物符合合同规定的证书。</w:t>
      </w:r>
    </w:p>
    <w:p w14:paraId="190902B1">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13.2货物运抵现场后，甲方将对货物的质量、规格、数量和重量进行初步检验，并出具检验证书。如发现货物的规格或数量或两者都与合同不符，甲方有权在货物运抵现场后90天内，根据甲方按检验标准自己检验结果或当地质检部门出具的检验证书向乙方提出索赔。</w:t>
      </w:r>
    </w:p>
    <w:p w14:paraId="69D72140">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13.3供货完成后，如发现货物的技术参数、规格或数量与样品或合同不符，甲方有权随机抽样送检，最终验收以检测合格并符合招标文件要求的检测报告为准。不论最终检测结果如何，修补费用及检测费用由乙方自行承担，甲方不再另行支付。</w:t>
      </w:r>
    </w:p>
    <w:p w14:paraId="04A8F426">
      <w:pPr>
        <w:kinsoku w:val="0"/>
        <w:overflowPunct w:val="0"/>
        <w:autoSpaceDE w:val="0"/>
        <w:autoSpaceDN w:val="0"/>
        <w:adjustRightInd w:val="0"/>
        <w:snapToGrid w:val="0"/>
        <w:spacing w:line="420" w:lineRule="exact"/>
        <w:ind w:firstLine="411" w:firstLineChars="196"/>
        <w:rPr>
          <w:rFonts w:ascii="宋体" w:hAnsi="宋体" w:cs="宋体"/>
          <w:b/>
          <w:bCs/>
          <w:szCs w:val="21"/>
        </w:rPr>
      </w:pPr>
      <w:r>
        <w:rPr>
          <w:rFonts w:hint="eastAsia" w:ascii="宋体" w:hAnsi="宋体" w:cs="宋体"/>
          <w:szCs w:val="21"/>
        </w:rPr>
        <w:t>13.4如果货物的质量和规格与合同不符，或在规定的质量保证期内证实货物是有缺陷的，包括潜在的缺陷或使用不符合要求的材料，甲方将有权向乙方提出索赔。</w:t>
      </w:r>
    </w:p>
    <w:p w14:paraId="7E8691B6">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13.5货物验收标准按国家有关标准执行。</w:t>
      </w:r>
    </w:p>
    <w:p w14:paraId="1501559A">
      <w:pPr>
        <w:kinsoku w:val="0"/>
        <w:overflowPunct w:val="0"/>
        <w:autoSpaceDE w:val="0"/>
        <w:autoSpaceDN w:val="0"/>
        <w:adjustRightInd w:val="0"/>
        <w:snapToGrid w:val="0"/>
        <w:spacing w:line="420" w:lineRule="exact"/>
        <w:ind w:firstLine="422" w:firstLineChars="200"/>
        <w:rPr>
          <w:rFonts w:ascii="宋体" w:hAnsi="宋体" w:cs="宋体"/>
          <w:b/>
          <w:bCs/>
          <w:szCs w:val="21"/>
        </w:rPr>
      </w:pPr>
      <w:r>
        <w:rPr>
          <w:rFonts w:hint="eastAsia" w:ascii="宋体" w:hAnsi="宋体" w:cs="宋体"/>
          <w:b/>
          <w:bCs/>
          <w:szCs w:val="21"/>
        </w:rPr>
        <w:t>十四、质量保证和售后服务</w:t>
      </w:r>
    </w:p>
    <w:p w14:paraId="7645CB7A">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14.1乙方应保证所提供的货物是全新、未使用过的、是目前最先进的、是用一流的工艺和最佳材料制造而成的，并完全符合合同规定的质量、规格和性能的要求。乙方应保证所提供的货物经正确安装、正常运行和保养在其使用寿命期内应具有满意的性能。在货物质量保证期内，乙方应对由于材料和制造原因产生的缺陷而发生的任何不足或故障负责。</w:t>
      </w:r>
    </w:p>
    <w:p w14:paraId="0F9758DB">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14.2根据当地质检部门检验结果，或者在质量保证期内，如果货物的数量、质量或规格与合同不符，或证实货物是有缺陷的，包括潜在的缺陷或使用不符合要求的材料等，甲方应尽快以书面形式通知乙方，并提出索赔。</w:t>
      </w:r>
    </w:p>
    <w:p w14:paraId="0F8D40A5">
      <w:pPr>
        <w:kinsoku w:val="0"/>
        <w:overflowPunct w:val="0"/>
        <w:autoSpaceDE w:val="0"/>
        <w:autoSpaceDN w:val="0"/>
        <w:adjustRightInd w:val="0"/>
        <w:snapToGrid w:val="0"/>
        <w:spacing w:line="420" w:lineRule="exact"/>
        <w:ind w:firstLine="411" w:firstLineChars="196"/>
        <w:rPr>
          <w:rFonts w:ascii="宋体" w:hAnsi="宋体" w:cs="宋体"/>
          <w:szCs w:val="21"/>
        </w:rPr>
      </w:pPr>
      <w:r>
        <w:rPr>
          <w:rFonts w:hint="eastAsia" w:ascii="宋体" w:hAnsi="宋体" w:cs="宋体"/>
          <w:szCs w:val="21"/>
        </w:rPr>
        <w:t>14.3在乙方承诺的质量保修期（最终验收合格、交付使用之日起计算）内，乙方应派人员跟踪服务，及时处理运行过程中出现的问题，主要配件和部件如发生非人为原因引起的损坏，乙方应及时提供，免费更换或修理。</w:t>
      </w:r>
    </w:p>
    <w:p w14:paraId="4F4277D1">
      <w:pPr>
        <w:kinsoku w:val="0"/>
        <w:overflowPunct w:val="0"/>
        <w:autoSpaceDE w:val="0"/>
        <w:autoSpaceDN w:val="0"/>
        <w:adjustRightInd w:val="0"/>
        <w:snapToGrid w:val="0"/>
        <w:spacing w:line="420" w:lineRule="exact"/>
        <w:ind w:firstLine="420" w:firstLineChars="200"/>
        <w:rPr>
          <w:rFonts w:ascii="宋体" w:hAnsi="宋体" w:cs="宋体"/>
          <w:szCs w:val="21"/>
        </w:rPr>
      </w:pPr>
      <w:r>
        <w:rPr>
          <w:rFonts w:hint="eastAsia" w:ascii="宋体" w:hAnsi="宋体" w:cs="宋体"/>
          <w:szCs w:val="21"/>
        </w:rPr>
        <w:t>14.4在保修期内，一旦发生质量问题，乙方保证在接到通知24小时内响应，2天内赶到现场进行修理、更换或退货，费用由乙方负责。如乙方在接到通知后24小时内没有答复，则视为乙方承认质量问题并承担由此发生的一切费用。保修期间货物的一切质量问题，更换部件及本身质量原因造成的直接经济损失应全部由乙方负责。</w:t>
      </w:r>
    </w:p>
    <w:p w14:paraId="3CFB7FB3">
      <w:pPr>
        <w:kinsoku w:val="0"/>
        <w:overflowPunct w:val="0"/>
        <w:autoSpaceDE w:val="0"/>
        <w:autoSpaceDN w:val="0"/>
        <w:adjustRightInd w:val="0"/>
        <w:snapToGrid w:val="0"/>
        <w:spacing w:line="420" w:lineRule="exact"/>
        <w:ind w:firstLine="411" w:firstLineChars="196"/>
        <w:rPr>
          <w:rFonts w:ascii="宋体" w:hAnsi="宋体" w:cs="宋体"/>
          <w:bCs/>
          <w:szCs w:val="21"/>
        </w:rPr>
      </w:pPr>
      <w:r>
        <w:rPr>
          <w:rFonts w:hint="eastAsia" w:ascii="宋体" w:hAnsi="宋体" w:cs="宋体"/>
          <w:bCs/>
          <w:szCs w:val="21"/>
        </w:rPr>
        <w:t>14.5如乙方现场供应的产品达不到品质要求，应无条件退场，重新采购达到要求的设备，一切损失和责任均由乙方承担。如乙方不服从或拒绝退场的，甲方有权单独采购符合要求的产品，其一切费用均在乙方款项中扣除。</w:t>
      </w:r>
    </w:p>
    <w:p w14:paraId="507646B5">
      <w:pPr>
        <w:pStyle w:val="15"/>
        <w:spacing w:line="420" w:lineRule="exact"/>
        <w:ind w:firstLine="422" w:firstLineChars="200"/>
        <w:jc w:val="left"/>
        <w:rPr>
          <w:rFonts w:hAnsi="宋体" w:cs="宋体"/>
        </w:rPr>
      </w:pPr>
      <w:r>
        <w:rPr>
          <w:rFonts w:hint="eastAsia" w:hAnsi="宋体" w:cs="宋体"/>
          <w:b/>
        </w:rPr>
        <w:t>十五、生产、包装及发运</w:t>
      </w:r>
    </w:p>
    <w:p w14:paraId="434CF8E9">
      <w:pPr>
        <w:spacing w:line="420" w:lineRule="exact"/>
        <w:ind w:firstLine="420" w:firstLineChars="200"/>
        <w:jc w:val="left"/>
        <w:rPr>
          <w:rFonts w:ascii="宋体" w:hAnsi="宋体" w:cs="宋体"/>
          <w:szCs w:val="21"/>
        </w:rPr>
      </w:pPr>
      <w:r>
        <w:rPr>
          <w:rFonts w:hint="eastAsia" w:ascii="宋体" w:hAnsi="宋体" w:cs="宋体"/>
          <w:szCs w:val="21"/>
        </w:rPr>
        <w:t>15.1乙方应在货物发运前，须按照满足运输距离、防潮、防震、防锈和防破损装卸等要求包装，以保证货物安全运达甲方指定地点。</w:t>
      </w:r>
    </w:p>
    <w:p w14:paraId="3628E77B">
      <w:pPr>
        <w:spacing w:line="420" w:lineRule="exact"/>
        <w:ind w:firstLine="420" w:firstLineChars="200"/>
        <w:jc w:val="left"/>
        <w:rPr>
          <w:rFonts w:ascii="宋体" w:hAnsi="宋体" w:cs="宋体"/>
          <w:szCs w:val="21"/>
        </w:rPr>
      </w:pPr>
      <w:r>
        <w:rPr>
          <w:rFonts w:hint="eastAsia" w:ascii="宋体" w:hAnsi="宋体" w:cs="宋体"/>
          <w:szCs w:val="21"/>
        </w:rPr>
        <w:t>15.2使用说明书、质量检验证明书、随配附件、工具、清单及其他甲方需要的资料一并附于货物内。</w:t>
      </w:r>
    </w:p>
    <w:p w14:paraId="5DE61421">
      <w:pPr>
        <w:spacing w:line="420" w:lineRule="exact"/>
        <w:ind w:firstLine="420" w:firstLineChars="200"/>
        <w:jc w:val="left"/>
        <w:rPr>
          <w:rFonts w:ascii="宋体" w:hAnsi="宋体" w:cs="宋体"/>
          <w:szCs w:val="21"/>
        </w:rPr>
      </w:pPr>
      <w:r>
        <w:rPr>
          <w:rFonts w:hint="eastAsia" w:ascii="宋体" w:hAnsi="宋体" w:cs="宋体"/>
          <w:szCs w:val="21"/>
        </w:rPr>
        <w:t>15.3乙方在货物发运手续办理完毕后24小时内或货到甲方48小时前通知甲方。货物在交付使用前发生的风险均由乙方负责。</w:t>
      </w:r>
    </w:p>
    <w:p w14:paraId="46A8C13E">
      <w:pPr>
        <w:pStyle w:val="15"/>
        <w:spacing w:line="420" w:lineRule="exact"/>
        <w:ind w:firstLine="422" w:firstLineChars="200"/>
        <w:jc w:val="left"/>
        <w:rPr>
          <w:rFonts w:hAnsi="宋体" w:cs="宋体"/>
          <w:b/>
        </w:rPr>
      </w:pPr>
      <w:r>
        <w:rPr>
          <w:rFonts w:hint="eastAsia" w:hAnsi="宋体" w:cs="宋体"/>
          <w:b/>
        </w:rPr>
        <w:t>十六、售后服务</w:t>
      </w:r>
    </w:p>
    <w:p w14:paraId="15884C47">
      <w:pPr>
        <w:spacing w:line="420" w:lineRule="exact"/>
        <w:ind w:firstLine="420" w:firstLineChars="200"/>
        <w:jc w:val="left"/>
        <w:rPr>
          <w:rFonts w:ascii="宋体" w:hAnsi="宋体" w:cs="宋体"/>
          <w:szCs w:val="21"/>
        </w:rPr>
      </w:pPr>
      <w:r>
        <w:rPr>
          <w:rFonts w:hint="eastAsia" w:ascii="宋体" w:hAnsi="宋体" w:cs="宋体"/>
          <w:szCs w:val="21"/>
        </w:rPr>
        <w:t>16.1质保期内，乙方应对货物出现的质量、安全等问题负责解决并承担相关责任和一切费用。免费质保期满后，乙方仍负责终生上门检查、维修和维护，只收取部件成本费和实际人工费。</w:t>
      </w:r>
    </w:p>
    <w:p w14:paraId="1AB8A363">
      <w:pPr>
        <w:pStyle w:val="11"/>
        <w:rPr>
          <w:color w:val="auto"/>
        </w:rPr>
      </w:pPr>
      <w:r>
        <w:rPr>
          <w:rFonts w:hint="eastAsia"/>
          <w:color w:val="auto"/>
          <w:kern w:val="2"/>
        </w:rPr>
        <w:t>16.2乙方须具有较强的本地售后服务能力，在盐城市区须有售后服务网点并常年驻有数量足够、实时在岗的可供24小时随时上门服务的技术、检修、维护等正式人员</w:t>
      </w:r>
      <w:r>
        <w:rPr>
          <w:rFonts w:hint="eastAsia"/>
          <w:bCs/>
          <w:color w:val="auto"/>
          <w:kern w:val="2"/>
        </w:rPr>
        <w:t>。</w:t>
      </w:r>
    </w:p>
    <w:p w14:paraId="1893BB23">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16.3质保期内，乙方须定时上门对使用情况和安全情况进行检查维护，至少每季度上门检查维护一次并做好相关检修记录。</w:t>
      </w:r>
    </w:p>
    <w:p w14:paraId="5A5BBAF4">
      <w:pPr>
        <w:spacing w:line="420" w:lineRule="exact"/>
        <w:ind w:firstLine="420" w:firstLineChars="200"/>
        <w:jc w:val="left"/>
        <w:rPr>
          <w:rFonts w:ascii="宋体" w:hAnsi="宋体" w:cs="宋体"/>
          <w:color w:val="auto"/>
          <w:szCs w:val="21"/>
        </w:rPr>
      </w:pPr>
      <w:r>
        <w:rPr>
          <w:rFonts w:hint="eastAsia" w:ascii="宋体" w:hAnsi="宋体" w:cs="宋体"/>
          <w:color w:val="auto"/>
          <w:szCs w:val="21"/>
        </w:rPr>
        <w:t>16.4质保期内，所产生的检查、维修、维护、升级、人工、材料等所有费用由乙方承担。</w:t>
      </w:r>
    </w:p>
    <w:p w14:paraId="686875B6">
      <w:pPr>
        <w:pStyle w:val="15"/>
        <w:spacing w:line="420" w:lineRule="exact"/>
        <w:ind w:firstLine="422" w:firstLineChars="200"/>
        <w:jc w:val="left"/>
        <w:rPr>
          <w:rFonts w:hAnsi="宋体" w:cs="宋体"/>
          <w:b/>
          <w:color w:val="auto"/>
        </w:rPr>
      </w:pPr>
      <w:r>
        <w:rPr>
          <w:rFonts w:hint="eastAsia" w:hAnsi="宋体" w:cs="宋体"/>
          <w:b/>
          <w:color w:val="auto"/>
        </w:rPr>
        <w:t>十七、违约责任</w:t>
      </w:r>
    </w:p>
    <w:p w14:paraId="442A8ADF">
      <w:pPr>
        <w:pStyle w:val="15"/>
        <w:spacing w:line="420" w:lineRule="exact"/>
        <w:ind w:firstLine="420" w:firstLineChars="200"/>
        <w:jc w:val="left"/>
        <w:rPr>
          <w:rFonts w:hAnsi="宋体" w:cs="宋体"/>
          <w:color w:val="auto"/>
        </w:rPr>
      </w:pPr>
      <w:r>
        <w:rPr>
          <w:rFonts w:hint="eastAsia" w:hAnsi="宋体" w:cs="宋体"/>
          <w:color w:val="auto"/>
        </w:rPr>
        <w:t>17.1甲方无正当理由拒收货物的，甲方向乙方偿付拒收货款总值的5%违约金。</w:t>
      </w:r>
    </w:p>
    <w:p w14:paraId="496C7A99">
      <w:pPr>
        <w:pStyle w:val="15"/>
        <w:spacing w:line="420" w:lineRule="exact"/>
        <w:ind w:firstLine="420" w:firstLineChars="200"/>
        <w:jc w:val="left"/>
        <w:rPr>
          <w:rFonts w:hAnsi="宋体" w:cs="宋体"/>
          <w:color w:val="auto"/>
        </w:rPr>
      </w:pPr>
      <w:r>
        <w:rPr>
          <w:rFonts w:hint="eastAsia" w:hAnsi="宋体" w:cs="宋体"/>
          <w:color w:val="auto"/>
        </w:rPr>
        <w:t>17.2甲方无故逾期验收和办理相关手续的，甲方应按逾期付款总额每日万分之五向乙方支付违约金。</w:t>
      </w:r>
    </w:p>
    <w:p w14:paraId="4112D024">
      <w:pPr>
        <w:pStyle w:val="15"/>
        <w:spacing w:line="420" w:lineRule="exact"/>
        <w:ind w:firstLine="420" w:firstLineChars="200"/>
        <w:jc w:val="left"/>
        <w:rPr>
          <w:rFonts w:hAnsi="宋体" w:cs="宋体"/>
          <w:color w:val="auto"/>
        </w:rPr>
      </w:pPr>
      <w:r>
        <w:rPr>
          <w:rFonts w:hint="eastAsia" w:hAnsi="宋体" w:cs="宋体"/>
          <w:color w:val="auto"/>
        </w:rPr>
        <w:t xml:space="preserve">17.3乙方逾期交付货物的，乙方应按逾期交货总额每日万分之五向甲方支付违约金，由甲方从待付货款中扣除。逾期超过约定日期10个工作日不能交货的，甲方可解除本合同。乙方因逾期交货或因其他违约行为导致甲方解除合同的，乙方应向甲方支付合同总价10%的违约金，如造成甲方损失超过违约金的，超出部分由乙方继续承担赔偿责任。 </w:t>
      </w:r>
    </w:p>
    <w:p w14:paraId="3F6797A9">
      <w:pPr>
        <w:pStyle w:val="15"/>
        <w:spacing w:line="420" w:lineRule="exact"/>
        <w:ind w:firstLine="420" w:firstLineChars="200"/>
        <w:jc w:val="left"/>
        <w:rPr>
          <w:rFonts w:hAnsi="宋体" w:cs="宋体"/>
          <w:color w:val="auto"/>
        </w:rPr>
      </w:pPr>
      <w:r>
        <w:rPr>
          <w:rFonts w:hint="eastAsia" w:hAnsi="宋体" w:cs="宋体"/>
          <w:color w:val="auto"/>
        </w:rPr>
        <w:t xml:space="preserve">17.4乙方所交的货物品种、型号、规格、技术参数、质量等不符合合同规定及招标文件规定标准的，甲方有权拒收该货物，乙方愿意更换货物但逾期交货的，按乙方逾期交货处理。乙方拒绝更换货物的，甲方可单方面解除合同。 </w:t>
      </w:r>
    </w:p>
    <w:p w14:paraId="25FDF47C">
      <w:pPr>
        <w:pStyle w:val="15"/>
        <w:spacing w:line="420" w:lineRule="exact"/>
        <w:ind w:firstLine="420" w:firstLineChars="200"/>
        <w:jc w:val="left"/>
        <w:rPr>
          <w:rFonts w:hAnsi="宋体" w:cs="宋体"/>
          <w:color w:val="auto"/>
        </w:rPr>
      </w:pPr>
      <w:r>
        <w:rPr>
          <w:rFonts w:hint="eastAsia" w:hAnsi="宋体" w:cs="宋体"/>
          <w:color w:val="auto"/>
        </w:rPr>
        <w:t xml:space="preserve">17.5若乙方提供的货物（含主件、零配件、软件等）质量不符合要求或售后服务不到位不及时，为了不影响项目实施及使用，甲方有权从第三方获得相应货品和维护、检修、保障、人工等服务；由此产生的费用，甲方直接从乙方合同价款中扣除，并对乙方再处以5000元/次的罚款。 </w:t>
      </w:r>
    </w:p>
    <w:p w14:paraId="445B11DA">
      <w:pPr>
        <w:pStyle w:val="15"/>
        <w:spacing w:line="420" w:lineRule="exact"/>
        <w:ind w:firstLine="420" w:firstLineChars="200"/>
        <w:jc w:val="left"/>
        <w:rPr>
          <w:rFonts w:hAnsi="宋体" w:cs="宋体"/>
          <w:color w:val="auto"/>
        </w:rPr>
      </w:pPr>
      <w:r>
        <w:rPr>
          <w:rFonts w:hint="eastAsia" w:hAnsi="宋体" w:cs="宋体"/>
          <w:color w:val="auto"/>
        </w:rPr>
        <w:t xml:space="preserve">17.6一旦发现乙方以假乱真、贴牌、以次充好等现象，甲方将直接终止合同且不付乙方任何款项，乙方同时须对甲方造成的损失给予赔偿并承担相关法律责任。 </w:t>
      </w:r>
    </w:p>
    <w:p w14:paraId="4CEA8E1A">
      <w:pPr>
        <w:pStyle w:val="15"/>
        <w:spacing w:line="420" w:lineRule="exact"/>
        <w:ind w:firstLine="420" w:firstLineChars="200"/>
        <w:jc w:val="left"/>
        <w:rPr>
          <w:rFonts w:hAnsi="宋体" w:cs="宋体"/>
          <w:color w:val="auto"/>
        </w:rPr>
      </w:pPr>
      <w:r>
        <w:rPr>
          <w:rFonts w:hint="eastAsia" w:hAnsi="宋体" w:cs="宋体"/>
          <w:color w:val="auto"/>
        </w:rPr>
        <w:t>17.7若需要提供相关资料，乙方不能提供或提供不全的，甲方有权指定生产厂家直接供货，设备费用按生产厂家供货价直接从乙方合同价款中扣除，并再对乙方处以合同总价10%的罚金；如造成甲方损失超过合同待付款项，超出部分由乙方继续承担赔偿责任。</w:t>
      </w:r>
    </w:p>
    <w:p w14:paraId="552BB9E9">
      <w:pPr>
        <w:pStyle w:val="11"/>
        <w:rPr>
          <w:rFonts w:hint="eastAsia"/>
          <w:color w:val="auto"/>
        </w:rPr>
      </w:pPr>
      <w:r>
        <w:rPr>
          <w:rFonts w:hint="eastAsia"/>
          <w:color w:val="auto"/>
          <w:kern w:val="2"/>
        </w:rPr>
        <w:t>17.8</w:t>
      </w:r>
      <w:r>
        <w:rPr>
          <w:rFonts w:hint="eastAsia"/>
          <w:color w:val="auto"/>
        </w:rPr>
        <w:t>除了执行招标文件和合同规定的相关违约条款外，乙方若存在违反招标文件和合同要求情形的，发生在投标时，直接没收投标保证金；发生在货物验收完毕前的，直接没收履约保证金；发生在质保期内的，直接没收质保金。另外，乙方还须退回甲方已经给付的款项，并赔偿甲方损失；如造成甲方损失超过相应保证金或合同待付款项，超出部分由乙方继续承担赔偿责任。</w:t>
      </w:r>
    </w:p>
    <w:p w14:paraId="76523A5B">
      <w:pPr>
        <w:pStyle w:val="11"/>
        <w:rPr>
          <w:rFonts w:hint="eastAsia"/>
          <w:color w:val="auto"/>
        </w:rPr>
      </w:pPr>
      <w:r>
        <w:rPr>
          <w:rFonts w:hint="eastAsia"/>
          <w:color w:val="auto"/>
        </w:rPr>
        <w:t>本合同中提及的“罚金”“处罚”“罚款”等概念，等同于惩罚性违约金。</w:t>
      </w:r>
    </w:p>
    <w:p w14:paraId="6CC773F6">
      <w:pPr>
        <w:pStyle w:val="15"/>
        <w:spacing w:line="420" w:lineRule="exact"/>
        <w:ind w:firstLine="422" w:firstLineChars="200"/>
        <w:jc w:val="left"/>
        <w:rPr>
          <w:rFonts w:hAnsi="宋体" w:cs="宋体"/>
          <w:b/>
        </w:rPr>
      </w:pPr>
      <w:r>
        <w:rPr>
          <w:rFonts w:hint="eastAsia" w:hAnsi="宋体" w:cs="宋体"/>
          <w:b/>
        </w:rPr>
        <w:t>十八、不可抗力事件处理</w:t>
      </w:r>
    </w:p>
    <w:p w14:paraId="63848D17">
      <w:pPr>
        <w:pStyle w:val="15"/>
        <w:spacing w:line="420" w:lineRule="exact"/>
        <w:ind w:firstLine="420" w:firstLineChars="200"/>
        <w:jc w:val="left"/>
        <w:rPr>
          <w:rFonts w:hAnsi="宋体" w:cs="宋体"/>
        </w:rPr>
      </w:pPr>
      <w:r>
        <w:rPr>
          <w:rFonts w:hint="eastAsia" w:hAnsi="宋体" w:cs="宋体"/>
        </w:rPr>
        <w:t>18.1在合同有效期内，任何一方因不可抗力事件导致不能履行合同，则合同履行期可延长，其延长期与不可抗力影响期相同。</w:t>
      </w:r>
    </w:p>
    <w:p w14:paraId="69D911A1">
      <w:pPr>
        <w:pStyle w:val="15"/>
        <w:spacing w:line="420" w:lineRule="exact"/>
        <w:ind w:firstLine="420" w:firstLineChars="200"/>
        <w:jc w:val="left"/>
        <w:rPr>
          <w:rFonts w:hAnsi="宋体" w:cs="宋体"/>
        </w:rPr>
      </w:pPr>
      <w:r>
        <w:rPr>
          <w:rFonts w:hint="eastAsia" w:hAnsi="宋体" w:cs="宋体"/>
        </w:rPr>
        <w:t>18.2不可抗力事件发生后，应立即通知对方，并寄送有关权威机构出具的证明。</w:t>
      </w:r>
    </w:p>
    <w:p w14:paraId="18F94B33">
      <w:pPr>
        <w:pStyle w:val="15"/>
        <w:spacing w:line="420" w:lineRule="exact"/>
        <w:ind w:firstLine="420" w:firstLineChars="200"/>
        <w:jc w:val="left"/>
        <w:rPr>
          <w:rFonts w:hAnsi="宋体" w:cs="宋体"/>
        </w:rPr>
      </w:pPr>
      <w:r>
        <w:rPr>
          <w:rFonts w:hint="eastAsia" w:hAnsi="宋体" w:cs="宋体"/>
        </w:rPr>
        <w:t>18.3不可抗力事件延续120天以上，双方应通过友好协商，确定是否继续履行合同。</w:t>
      </w:r>
    </w:p>
    <w:p w14:paraId="4213831A">
      <w:pPr>
        <w:pStyle w:val="15"/>
        <w:spacing w:line="420" w:lineRule="exact"/>
        <w:ind w:firstLine="422" w:firstLineChars="200"/>
        <w:jc w:val="left"/>
        <w:rPr>
          <w:rFonts w:hAnsi="宋体" w:cs="宋体"/>
          <w:b/>
        </w:rPr>
      </w:pPr>
      <w:r>
        <w:rPr>
          <w:rFonts w:hint="eastAsia" w:hAnsi="宋体" w:cs="宋体"/>
          <w:b/>
        </w:rPr>
        <w:t>十九、诉讼</w:t>
      </w:r>
    </w:p>
    <w:p w14:paraId="32D497F4">
      <w:pPr>
        <w:spacing w:line="420" w:lineRule="exact"/>
        <w:ind w:firstLine="420" w:firstLineChars="200"/>
        <w:jc w:val="left"/>
        <w:rPr>
          <w:rFonts w:ascii="宋体" w:hAnsi="宋体" w:cs="宋体"/>
          <w:szCs w:val="21"/>
        </w:rPr>
      </w:pPr>
      <w:r>
        <w:rPr>
          <w:rFonts w:hint="eastAsia" w:ascii="宋体" w:hAnsi="宋体" w:cs="宋体"/>
          <w:szCs w:val="21"/>
        </w:rPr>
        <w:t>19.1双方在执行合同中所发生的一切争议，应通过协商解决。如协商不成，可向甲方所在地法院起诉。</w:t>
      </w:r>
    </w:p>
    <w:p w14:paraId="600925EE">
      <w:pPr>
        <w:pStyle w:val="15"/>
        <w:spacing w:line="420" w:lineRule="exact"/>
        <w:ind w:firstLine="422" w:firstLineChars="200"/>
        <w:jc w:val="left"/>
        <w:rPr>
          <w:rFonts w:hAnsi="宋体" w:cs="宋体"/>
          <w:b/>
        </w:rPr>
      </w:pPr>
      <w:r>
        <w:rPr>
          <w:rFonts w:hint="eastAsia" w:hAnsi="宋体" w:cs="宋体"/>
          <w:b/>
        </w:rPr>
        <w:t>二十、合同生效</w:t>
      </w:r>
    </w:p>
    <w:p w14:paraId="4017B631">
      <w:pPr>
        <w:pStyle w:val="15"/>
        <w:spacing w:line="420" w:lineRule="exact"/>
        <w:ind w:firstLine="420" w:firstLineChars="200"/>
        <w:jc w:val="left"/>
        <w:rPr>
          <w:rFonts w:hAnsi="宋体" w:cs="宋体"/>
        </w:rPr>
      </w:pPr>
      <w:r>
        <w:rPr>
          <w:rFonts w:hint="eastAsia" w:hAnsi="宋体" w:cs="宋体"/>
        </w:rPr>
        <w:t>20.1合同经双方法定代表人或授权代表人签字并加盖单位公章后生效。</w:t>
      </w:r>
    </w:p>
    <w:p w14:paraId="6F2C7823">
      <w:pPr>
        <w:pStyle w:val="15"/>
        <w:spacing w:line="420" w:lineRule="exact"/>
        <w:ind w:firstLine="420" w:firstLineChars="200"/>
        <w:jc w:val="left"/>
        <w:rPr>
          <w:rFonts w:hAnsi="宋体" w:cs="宋体"/>
        </w:rPr>
      </w:pPr>
      <w:r>
        <w:rPr>
          <w:rFonts w:hint="eastAsia" w:hAnsi="宋体" w:cs="宋体"/>
        </w:rPr>
        <w:t>20.2本项目招标文件和乙方的投标文件中被采购人认可的部分为本合同不可分割的组成部分，与本合同具有同等效力。本合同有关事项，优先以招标文件为准。</w:t>
      </w:r>
    </w:p>
    <w:p w14:paraId="10314C53">
      <w:pPr>
        <w:pStyle w:val="15"/>
        <w:spacing w:line="420" w:lineRule="exact"/>
        <w:ind w:firstLine="420" w:firstLineChars="200"/>
        <w:jc w:val="left"/>
        <w:rPr>
          <w:rFonts w:hAnsi="宋体" w:cs="宋体"/>
        </w:rPr>
      </w:pPr>
      <w:r>
        <w:rPr>
          <w:rFonts w:hint="eastAsia" w:hAnsi="宋体" w:cs="宋体"/>
        </w:rPr>
        <w:t>20.3本合同一式四份，具有同等法律效力，甲乙双方各执贰份。</w:t>
      </w:r>
    </w:p>
    <w:p w14:paraId="3744B92C">
      <w:pPr>
        <w:pStyle w:val="15"/>
        <w:snapToGrid w:val="0"/>
        <w:spacing w:line="420" w:lineRule="exact"/>
        <w:ind w:firstLine="420" w:firstLineChars="200"/>
        <w:jc w:val="left"/>
        <w:rPr>
          <w:rFonts w:hAnsi="宋体" w:cs="宋体"/>
        </w:rPr>
      </w:pPr>
      <w:r>
        <w:rPr>
          <w:rFonts w:hint="eastAsia" w:hAnsi="宋体" w:cs="宋体"/>
        </w:rPr>
        <w:t xml:space="preserve"> </w:t>
      </w:r>
    </w:p>
    <w:p w14:paraId="4C91CD20">
      <w:pPr>
        <w:pStyle w:val="15"/>
        <w:snapToGrid w:val="0"/>
        <w:spacing w:line="420" w:lineRule="exact"/>
        <w:ind w:firstLine="420" w:firstLineChars="200"/>
        <w:jc w:val="left"/>
        <w:rPr>
          <w:rFonts w:hAnsi="宋体" w:cs="宋体"/>
        </w:rPr>
      </w:pPr>
    </w:p>
    <w:p w14:paraId="395B5170">
      <w:pPr>
        <w:pStyle w:val="15"/>
        <w:snapToGrid w:val="0"/>
        <w:spacing w:line="420" w:lineRule="exact"/>
        <w:ind w:firstLine="630" w:firstLineChars="300"/>
        <w:jc w:val="left"/>
        <w:rPr>
          <w:rFonts w:hAnsi="宋体" w:cs="宋体"/>
        </w:rPr>
      </w:pPr>
      <w:r>
        <w:rPr>
          <w:rFonts w:hint="eastAsia" w:hAnsi="宋体" w:cs="宋体"/>
        </w:rPr>
        <w:t xml:space="preserve">甲方：                                   乙方： </w:t>
      </w:r>
    </w:p>
    <w:p w14:paraId="6C7B0167">
      <w:pPr>
        <w:pStyle w:val="15"/>
        <w:snapToGrid w:val="0"/>
        <w:spacing w:line="420" w:lineRule="exact"/>
        <w:ind w:firstLine="420" w:firstLineChars="200"/>
        <w:jc w:val="left"/>
        <w:rPr>
          <w:rFonts w:hAnsi="宋体" w:cs="宋体"/>
        </w:rPr>
      </w:pPr>
      <w:r>
        <w:rPr>
          <w:rFonts w:hint="eastAsia" w:hAnsi="宋体" w:cs="宋体"/>
        </w:rPr>
        <w:t xml:space="preserve">  地址：                                   地址： </w:t>
      </w:r>
    </w:p>
    <w:p w14:paraId="55F9B978">
      <w:pPr>
        <w:pStyle w:val="15"/>
        <w:snapToGrid w:val="0"/>
        <w:spacing w:line="420" w:lineRule="exact"/>
        <w:ind w:firstLine="420" w:firstLineChars="200"/>
        <w:jc w:val="left"/>
        <w:rPr>
          <w:rFonts w:hAnsi="宋体" w:cs="宋体"/>
        </w:rPr>
      </w:pPr>
      <w:r>
        <w:rPr>
          <w:rFonts w:hint="eastAsia" w:hAnsi="宋体" w:cs="宋体"/>
        </w:rPr>
        <w:t xml:space="preserve">  法定代表人或授权代表：                   法定代表人或授权代表：</w:t>
      </w:r>
    </w:p>
    <w:p w14:paraId="7E71AC77">
      <w:pPr>
        <w:pStyle w:val="15"/>
        <w:snapToGrid w:val="0"/>
        <w:spacing w:line="420" w:lineRule="exact"/>
        <w:ind w:firstLine="420" w:firstLineChars="200"/>
        <w:jc w:val="left"/>
        <w:rPr>
          <w:rFonts w:hAnsi="宋体" w:cs="宋体"/>
        </w:rPr>
      </w:pPr>
      <w:r>
        <w:rPr>
          <w:rFonts w:hint="eastAsia" w:hAnsi="宋体" w:cs="宋体"/>
        </w:rPr>
        <w:t xml:space="preserve">  联系电话：                               联系电话：</w:t>
      </w:r>
    </w:p>
    <w:p w14:paraId="5349899E">
      <w:pPr>
        <w:pStyle w:val="15"/>
        <w:snapToGrid w:val="0"/>
        <w:spacing w:line="420" w:lineRule="exact"/>
        <w:ind w:firstLine="422" w:firstLineChars="200"/>
        <w:jc w:val="left"/>
        <w:rPr>
          <w:rFonts w:hAnsi="宋体" w:cs="宋体"/>
          <w:b/>
          <w:bCs/>
        </w:rPr>
      </w:pPr>
    </w:p>
    <w:p w14:paraId="5F37C7C5">
      <w:pPr>
        <w:spacing w:line="420" w:lineRule="exact"/>
        <w:ind w:firstLine="420" w:firstLineChars="200"/>
        <w:jc w:val="right"/>
        <w:rPr>
          <w:rFonts w:ascii="黑体" w:hAnsi="Arial" w:eastAsia="黑体"/>
        </w:rPr>
      </w:pPr>
      <w:r>
        <w:rPr>
          <w:rFonts w:hint="eastAsia" w:ascii="宋体" w:hAnsi="宋体" w:cs="宋体"/>
          <w:szCs w:val="21"/>
        </w:rPr>
        <w:t>签订日期：      年  月  日</w:t>
      </w:r>
      <w:bookmarkEnd w:id="5"/>
    </w:p>
    <w:p w14:paraId="29D3E0E8">
      <w:pPr>
        <w:pStyle w:val="38"/>
        <w:spacing w:line="572" w:lineRule="exact"/>
        <w:ind w:left="2413" w:right="175"/>
        <w:jc w:val="left"/>
        <w:rPr>
          <w:rFonts w:ascii="宋体" w:hAnsi="宋体" w:eastAsia="宋体" w:cs="宋体"/>
        </w:rPr>
      </w:pPr>
      <w:r>
        <w:rPr>
          <w:rFonts w:ascii="宋体" w:hAnsi="宋体" w:cs="Times New Roman"/>
          <w:szCs w:val="21"/>
        </w:rPr>
        <w:br w:type="page"/>
      </w:r>
      <w:r>
        <w:rPr>
          <w:rFonts w:hint="eastAsia" w:ascii="宋体" w:hAnsi="宋体" w:eastAsia="宋体" w:cs="宋体"/>
        </w:rPr>
        <w:t>第六章 投标文件格式</w:t>
      </w:r>
    </w:p>
    <w:p w14:paraId="3F0D05D8">
      <w:pPr>
        <w:pStyle w:val="8"/>
        <w:rPr>
          <w:b/>
          <w:sz w:val="20"/>
        </w:rPr>
      </w:pPr>
    </w:p>
    <w:p w14:paraId="777FDAF1">
      <w:pPr>
        <w:pStyle w:val="8"/>
        <w:rPr>
          <w:b/>
          <w:sz w:val="20"/>
        </w:rPr>
      </w:pPr>
    </w:p>
    <w:p w14:paraId="3ABAF5E7">
      <w:pPr>
        <w:pStyle w:val="8"/>
        <w:rPr>
          <w:b/>
          <w:sz w:val="20"/>
        </w:rPr>
      </w:pPr>
    </w:p>
    <w:p w14:paraId="744B8DEB">
      <w:pPr>
        <w:pStyle w:val="8"/>
        <w:rPr>
          <w:b/>
          <w:sz w:val="20"/>
        </w:rPr>
      </w:pPr>
    </w:p>
    <w:p w14:paraId="585C0296">
      <w:pPr>
        <w:pStyle w:val="8"/>
        <w:spacing w:before="6"/>
        <w:rPr>
          <w:b/>
          <w:sz w:val="24"/>
        </w:rPr>
      </w:pPr>
    </w:p>
    <w:p w14:paraId="0EA53271">
      <w:pPr>
        <w:pStyle w:val="8"/>
        <w:spacing w:before="6"/>
        <w:rPr>
          <w:b/>
          <w:sz w:val="24"/>
        </w:rPr>
      </w:pPr>
    </w:p>
    <w:p w14:paraId="46049B30">
      <w:pPr>
        <w:tabs>
          <w:tab w:val="left" w:pos="3280"/>
        </w:tabs>
        <w:spacing w:before="15"/>
        <w:ind w:left="2161" w:right="175"/>
        <w:rPr>
          <w:sz w:val="28"/>
          <w:u w:val="single"/>
        </w:rPr>
      </w:pPr>
    </w:p>
    <w:p w14:paraId="54DABE7D">
      <w:pPr>
        <w:tabs>
          <w:tab w:val="left" w:pos="3280"/>
        </w:tabs>
        <w:spacing w:before="15"/>
        <w:ind w:right="175"/>
        <w:jc w:val="center"/>
        <w:rPr>
          <w:rFonts w:hint="eastAsia" w:eastAsia="宋体"/>
          <w:b/>
          <w:bCs/>
          <w:sz w:val="36"/>
          <w:szCs w:val="36"/>
          <w:u w:val="single"/>
          <w:lang w:eastAsia="zh-CN"/>
        </w:rPr>
      </w:pPr>
      <w:r>
        <w:rPr>
          <w:rFonts w:hint="eastAsia"/>
          <w:b/>
          <w:bCs/>
          <w:sz w:val="36"/>
          <w:szCs w:val="36"/>
          <w:u w:val="single"/>
          <w:lang w:eastAsia="zh-CN"/>
        </w:rPr>
        <w:t>邻里中心宿舍楼门禁系统采购项目</w:t>
      </w:r>
    </w:p>
    <w:p w14:paraId="30EE1D95">
      <w:pPr>
        <w:pStyle w:val="8"/>
        <w:rPr>
          <w:sz w:val="20"/>
        </w:rPr>
      </w:pPr>
    </w:p>
    <w:p w14:paraId="6CD2E029">
      <w:pPr>
        <w:pStyle w:val="8"/>
        <w:spacing w:before="9"/>
        <w:rPr>
          <w:sz w:val="15"/>
        </w:rPr>
      </w:pPr>
    </w:p>
    <w:p w14:paraId="493B453D">
      <w:pPr>
        <w:spacing w:line="539" w:lineRule="exact"/>
        <w:ind w:left="3" w:right="1"/>
        <w:jc w:val="center"/>
        <w:rPr>
          <w:sz w:val="44"/>
        </w:rPr>
      </w:pPr>
    </w:p>
    <w:p w14:paraId="03E056F8">
      <w:pPr>
        <w:spacing w:line="539" w:lineRule="exact"/>
        <w:ind w:left="3" w:right="1"/>
        <w:jc w:val="center"/>
        <w:rPr>
          <w:sz w:val="44"/>
        </w:rPr>
      </w:pPr>
    </w:p>
    <w:p w14:paraId="71DABC66">
      <w:pPr>
        <w:pStyle w:val="33"/>
        <w:rPr>
          <w:color w:val="auto"/>
        </w:rPr>
      </w:pPr>
    </w:p>
    <w:p w14:paraId="4E96DC28">
      <w:pPr>
        <w:ind w:left="3" w:right="1"/>
        <w:jc w:val="center"/>
        <w:rPr>
          <w:b/>
          <w:bCs/>
          <w:sz w:val="72"/>
          <w:szCs w:val="72"/>
        </w:rPr>
      </w:pPr>
      <w:r>
        <w:rPr>
          <w:rFonts w:hint="eastAsia"/>
          <w:b/>
          <w:bCs/>
          <w:sz w:val="72"/>
          <w:szCs w:val="72"/>
        </w:rPr>
        <w:t>投 标 文 件</w:t>
      </w:r>
    </w:p>
    <w:p w14:paraId="4C76B872">
      <w:pPr>
        <w:pStyle w:val="8"/>
        <w:rPr>
          <w:sz w:val="44"/>
        </w:rPr>
      </w:pPr>
    </w:p>
    <w:p w14:paraId="12969442">
      <w:pPr>
        <w:pStyle w:val="8"/>
        <w:rPr>
          <w:sz w:val="44"/>
        </w:rPr>
      </w:pPr>
    </w:p>
    <w:p w14:paraId="68C28C19">
      <w:pPr>
        <w:pStyle w:val="8"/>
        <w:rPr>
          <w:sz w:val="44"/>
        </w:rPr>
      </w:pPr>
    </w:p>
    <w:p w14:paraId="71CA3DE7">
      <w:pPr>
        <w:pStyle w:val="8"/>
        <w:rPr>
          <w:sz w:val="44"/>
        </w:rPr>
      </w:pPr>
    </w:p>
    <w:p w14:paraId="6EAE416B">
      <w:pPr>
        <w:pStyle w:val="8"/>
        <w:rPr>
          <w:sz w:val="44"/>
        </w:rPr>
      </w:pPr>
    </w:p>
    <w:p w14:paraId="5B05AF7C">
      <w:pPr>
        <w:pStyle w:val="8"/>
        <w:rPr>
          <w:sz w:val="44"/>
        </w:rPr>
      </w:pPr>
    </w:p>
    <w:p w14:paraId="15AC736C">
      <w:pPr>
        <w:tabs>
          <w:tab w:val="left" w:pos="5577"/>
          <w:tab w:val="left" w:pos="6942"/>
        </w:tabs>
        <w:spacing w:before="376" w:line="357" w:lineRule="auto"/>
        <w:ind w:left="1201" w:right="175"/>
        <w:rPr>
          <w:spacing w:val="-1"/>
          <w:sz w:val="28"/>
        </w:rPr>
      </w:pPr>
      <w:r>
        <w:rPr>
          <w:rFonts w:hint="eastAsia"/>
          <w:sz w:val="28"/>
        </w:rPr>
        <w:t>投标人：</w:t>
      </w:r>
      <w:r>
        <w:rPr>
          <w:rFonts w:hint="eastAsia"/>
          <w:sz w:val="28"/>
          <w:u w:val="single"/>
        </w:rPr>
        <w:tab/>
      </w:r>
      <w:r>
        <w:rPr>
          <w:rFonts w:hint="eastAsia"/>
          <w:sz w:val="28"/>
          <w:u w:val="single"/>
        </w:rPr>
        <w:tab/>
      </w:r>
      <w:r>
        <w:rPr>
          <w:rFonts w:hint="eastAsia"/>
          <w:spacing w:val="-1"/>
          <w:sz w:val="28"/>
        </w:rPr>
        <w:t>（盖单位章）</w:t>
      </w:r>
    </w:p>
    <w:p w14:paraId="20A8AFC5">
      <w:pPr>
        <w:tabs>
          <w:tab w:val="left" w:pos="5577"/>
          <w:tab w:val="left" w:pos="6942"/>
        </w:tabs>
        <w:spacing w:before="376" w:line="357" w:lineRule="auto"/>
        <w:ind w:left="1201" w:right="175"/>
        <w:rPr>
          <w:sz w:val="28"/>
        </w:rPr>
      </w:pPr>
      <w:r>
        <w:rPr>
          <w:rFonts w:hint="eastAsia"/>
          <w:sz w:val="28"/>
        </w:rPr>
        <w:t>法定代表人或其委托代理人：</w:t>
      </w:r>
      <w:r>
        <w:rPr>
          <w:rFonts w:hint="eastAsia"/>
          <w:sz w:val="28"/>
          <w:u w:val="single"/>
        </w:rPr>
        <w:tab/>
      </w:r>
      <w:r>
        <w:rPr>
          <w:rFonts w:hint="eastAsia"/>
          <w:sz w:val="28"/>
          <w:u w:val="single"/>
        </w:rPr>
        <w:t xml:space="preserve">          </w:t>
      </w:r>
      <w:r>
        <w:rPr>
          <w:rFonts w:hint="eastAsia"/>
          <w:sz w:val="28"/>
        </w:rPr>
        <w:t>（签字或盖章）</w:t>
      </w:r>
    </w:p>
    <w:p w14:paraId="2F041DB9">
      <w:pPr>
        <w:pStyle w:val="8"/>
        <w:spacing w:before="12"/>
        <w:rPr>
          <w:sz w:val="29"/>
        </w:rPr>
      </w:pPr>
    </w:p>
    <w:p w14:paraId="3664AA6B">
      <w:pPr>
        <w:tabs>
          <w:tab w:val="left" w:pos="3611"/>
          <w:tab w:val="left" w:pos="4626"/>
          <w:tab w:val="left" w:pos="5642"/>
        </w:tabs>
        <w:spacing w:before="14"/>
        <w:ind w:left="2877" w:right="175"/>
        <w:rPr>
          <w:sz w:val="28"/>
        </w:rPr>
      </w:pPr>
      <w:r>
        <w:rPr>
          <w:rFonts w:hint="eastAsia"/>
          <w:sz w:val="28"/>
          <w:u w:val="single"/>
        </w:rPr>
        <w:tab/>
      </w:r>
      <w:r>
        <w:rPr>
          <w:rFonts w:hint="eastAsia"/>
          <w:sz w:val="28"/>
        </w:rPr>
        <w:t>年</w:t>
      </w:r>
      <w:r>
        <w:rPr>
          <w:rFonts w:hint="eastAsia"/>
          <w:sz w:val="28"/>
          <w:u w:val="single"/>
        </w:rPr>
        <w:tab/>
      </w:r>
      <w:r>
        <w:rPr>
          <w:rFonts w:hint="eastAsia"/>
          <w:sz w:val="28"/>
        </w:rPr>
        <w:t>月</w:t>
      </w:r>
      <w:r>
        <w:rPr>
          <w:rFonts w:hint="eastAsia"/>
          <w:sz w:val="28"/>
          <w:u w:val="single"/>
        </w:rPr>
        <w:tab/>
      </w:r>
      <w:r>
        <w:rPr>
          <w:rFonts w:hint="eastAsia"/>
          <w:sz w:val="28"/>
        </w:rPr>
        <w:t>日</w:t>
      </w:r>
    </w:p>
    <w:p w14:paraId="3C30EC6F">
      <w:pPr>
        <w:rPr>
          <w:sz w:val="28"/>
        </w:rPr>
        <w:sectPr>
          <w:footerReference r:id="rId4" w:type="default"/>
          <w:pgSz w:w="12240" w:h="15840"/>
          <w:pgMar w:top="1417" w:right="1553" w:bottom="1417" w:left="1553" w:header="0" w:footer="862" w:gutter="0"/>
          <w:pgNumType w:fmt="decimal" w:start="1"/>
          <w:cols w:space="0" w:num="1"/>
        </w:sectPr>
      </w:pPr>
    </w:p>
    <w:p w14:paraId="21C24B57">
      <w:pPr>
        <w:pStyle w:val="36"/>
        <w:spacing w:line="443" w:lineRule="exact"/>
        <w:ind w:left="1244" w:right="1222"/>
        <w:jc w:val="center"/>
        <w:rPr>
          <w:rFonts w:ascii="宋体" w:hAnsi="宋体" w:eastAsia="宋体" w:cs="宋体"/>
        </w:rPr>
      </w:pPr>
      <w:bookmarkStart w:id="6" w:name="_bookmark194"/>
      <w:bookmarkEnd w:id="6"/>
      <w:r>
        <w:rPr>
          <w:rFonts w:hint="eastAsia" w:ascii="宋体" w:hAnsi="宋体" w:eastAsia="宋体" w:cs="宋体"/>
        </w:rPr>
        <w:t>目录</w:t>
      </w:r>
    </w:p>
    <w:p w14:paraId="3C4C0D70">
      <w:pPr>
        <w:pStyle w:val="8"/>
        <w:rPr>
          <w:b/>
          <w:sz w:val="20"/>
        </w:rPr>
      </w:pPr>
    </w:p>
    <w:p w14:paraId="46C485C2">
      <w:pPr>
        <w:pStyle w:val="8"/>
        <w:rPr>
          <w:b/>
          <w:sz w:val="20"/>
        </w:rPr>
      </w:pPr>
    </w:p>
    <w:p w14:paraId="27C6E3F9">
      <w:pPr>
        <w:pStyle w:val="8"/>
        <w:rPr>
          <w:b/>
          <w:sz w:val="20"/>
        </w:rPr>
      </w:pPr>
    </w:p>
    <w:p w14:paraId="420473B7">
      <w:pPr>
        <w:spacing w:line="360" w:lineRule="auto"/>
        <w:ind w:firstLine="420" w:firstLineChars="200"/>
      </w:pPr>
      <w:bookmarkStart w:id="7" w:name="_bookmark195"/>
      <w:bookmarkEnd w:id="7"/>
      <w:r>
        <w:rPr>
          <w:rFonts w:hint="eastAsia"/>
        </w:rPr>
        <w:t>（一）投标函；</w:t>
      </w:r>
    </w:p>
    <w:p w14:paraId="50CCDAE8">
      <w:pPr>
        <w:spacing w:line="360" w:lineRule="auto"/>
        <w:ind w:firstLine="420" w:firstLineChars="200"/>
      </w:pPr>
      <w:r>
        <w:rPr>
          <w:rFonts w:hint="eastAsia"/>
        </w:rPr>
        <w:t>（二）投标报价明细表（如有）；</w:t>
      </w:r>
    </w:p>
    <w:p w14:paraId="7094A986">
      <w:pPr>
        <w:spacing w:line="360" w:lineRule="auto"/>
        <w:ind w:firstLine="420" w:firstLineChars="200"/>
      </w:pPr>
      <w:r>
        <w:rPr>
          <w:rFonts w:hint="eastAsia"/>
        </w:rPr>
        <w:t>（三）投标保证金缴纳证明材料；</w:t>
      </w:r>
    </w:p>
    <w:p w14:paraId="214411E5">
      <w:pPr>
        <w:spacing w:line="360" w:lineRule="auto"/>
        <w:ind w:firstLine="420" w:firstLineChars="200"/>
      </w:pPr>
      <w:r>
        <w:rPr>
          <w:rFonts w:hint="eastAsia"/>
        </w:rPr>
        <w:t>（四）联合体协议书（如有）；</w:t>
      </w:r>
    </w:p>
    <w:p w14:paraId="4143603C">
      <w:pPr>
        <w:spacing w:line="360" w:lineRule="auto"/>
        <w:ind w:firstLine="420" w:firstLineChars="200"/>
      </w:pPr>
      <w:r>
        <w:rPr>
          <w:rFonts w:hint="eastAsia"/>
        </w:rPr>
        <w:t>（五）法定代表人身份证明书；</w:t>
      </w:r>
    </w:p>
    <w:p w14:paraId="305CFA63">
      <w:pPr>
        <w:spacing w:line="360" w:lineRule="auto"/>
        <w:ind w:firstLine="420" w:firstLineChars="200"/>
      </w:pPr>
      <w:r>
        <w:rPr>
          <w:rFonts w:hint="eastAsia"/>
        </w:rPr>
        <w:t>（六）授权委托书（如有）；</w:t>
      </w:r>
    </w:p>
    <w:p w14:paraId="5B82981A">
      <w:pPr>
        <w:spacing w:line="360" w:lineRule="auto"/>
        <w:ind w:firstLine="420" w:firstLineChars="200"/>
        <w:rPr>
          <w:lang w:val="zh-CN"/>
        </w:rPr>
      </w:pPr>
      <w:r>
        <w:rPr>
          <w:rFonts w:hint="eastAsia"/>
        </w:rPr>
        <w:t>（七）</w:t>
      </w:r>
      <w:r>
        <w:rPr>
          <w:rFonts w:hint="eastAsia"/>
          <w:lang w:val="zh-CN"/>
        </w:rPr>
        <w:t>企业营业执照；</w:t>
      </w:r>
    </w:p>
    <w:p w14:paraId="2EC20DA5">
      <w:pPr>
        <w:spacing w:line="360" w:lineRule="auto"/>
        <w:ind w:firstLine="420" w:firstLineChars="200"/>
      </w:pPr>
      <w:r>
        <w:rPr>
          <w:rFonts w:hint="eastAsia"/>
          <w:lang w:val="zh-CN"/>
        </w:rPr>
        <w:t>（八）企业资质证书（如有）</w:t>
      </w:r>
      <w:r>
        <w:rPr>
          <w:rFonts w:hint="eastAsia"/>
        </w:rPr>
        <w:t>；</w:t>
      </w:r>
    </w:p>
    <w:p w14:paraId="13628101">
      <w:pPr>
        <w:spacing w:line="360" w:lineRule="auto"/>
        <w:ind w:firstLine="420" w:firstLineChars="200"/>
        <w:rPr>
          <w:lang w:val="zh-CN"/>
        </w:rPr>
      </w:pPr>
      <w:r>
        <w:rPr>
          <w:rFonts w:hint="eastAsia"/>
        </w:rPr>
        <w:t>（九）资格审查资料和计分要求的业绩材料</w:t>
      </w:r>
      <w:r>
        <w:rPr>
          <w:rFonts w:hint="eastAsia"/>
          <w:lang w:val="zh-CN"/>
        </w:rPr>
        <w:t>；</w:t>
      </w:r>
    </w:p>
    <w:p w14:paraId="7465F914">
      <w:pPr>
        <w:spacing w:line="360" w:lineRule="auto"/>
        <w:ind w:firstLine="420" w:firstLineChars="200"/>
      </w:pPr>
      <w:r>
        <w:rPr>
          <w:rFonts w:hint="eastAsia"/>
        </w:rPr>
        <w:t>（十）</w:t>
      </w:r>
      <w:r>
        <w:rPr>
          <w:rFonts w:hint="eastAsia"/>
          <w:lang w:val="zh-CN"/>
        </w:rPr>
        <w:t xml:space="preserve">根据招标文件评标办法要求以及投标人认为需要提供的其他资料。 </w:t>
      </w:r>
    </w:p>
    <w:p w14:paraId="20B1ADF6">
      <w:pPr>
        <w:rPr>
          <w:b/>
          <w:sz w:val="29"/>
        </w:rPr>
      </w:pPr>
      <w:r>
        <w:rPr>
          <w:b/>
          <w:sz w:val="29"/>
        </w:rPr>
        <w:br w:type="page"/>
      </w:r>
    </w:p>
    <w:p w14:paraId="1F98593C">
      <w:pPr>
        <w:sectPr>
          <w:pgSz w:w="12240" w:h="15840"/>
          <w:pgMar w:top="1417" w:right="1553" w:bottom="1417" w:left="1553" w:header="0" w:footer="862" w:gutter="0"/>
          <w:pgNumType w:fmt="decimal"/>
          <w:cols w:space="0" w:num="1"/>
        </w:sectPr>
      </w:pPr>
      <w:bookmarkStart w:id="8" w:name="_bookmark196"/>
      <w:bookmarkEnd w:id="8"/>
      <w:bookmarkStart w:id="9" w:name="_bookmark197"/>
      <w:bookmarkEnd w:id="9"/>
    </w:p>
    <w:p w14:paraId="52BCB61D">
      <w:pPr>
        <w:pStyle w:val="36"/>
        <w:spacing w:line="443" w:lineRule="exact"/>
        <w:ind w:left="0" w:right="0"/>
        <w:jc w:val="center"/>
        <w:rPr>
          <w:rFonts w:ascii="宋体" w:hAnsi="宋体" w:cs="宋体"/>
          <w:sz w:val="24"/>
          <w:u w:val="single"/>
        </w:rPr>
      </w:pPr>
      <w:bookmarkStart w:id="10" w:name="_bookmark198"/>
      <w:bookmarkEnd w:id="10"/>
      <w:r>
        <w:rPr>
          <w:rFonts w:hint="eastAsia" w:asciiTheme="minorEastAsia" w:hAnsiTheme="minorEastAsia" w:eastAsiaTheme="minorEastAsia" w:cstheme="minorEastAsia"/>
        </w:rPr>
        <w:t>（一）投标函</w:t>
      </w:r>
    </w:p>
    <w:p w14:paraId="52B1A60F">
      <w:pPr>
        <w:widowControl/>
        <w:adjustRightInd w:val="0"/>
        <w:spacing w:line="500" w:lineRule="atLeast"/>
        <w:jc w:val="left"/>
        <w:rPr>
          <w:sz w:val="24"/>
          <w:u w:val="single"/>
        </w:rPr>
      </w:pPr>
      <w:r>
        <w:rPr>
          <w:rFonts w:hint="eastAsia"/>
          <w:sz w:val="24"/>
          <w:u w:val="single"/>
        </w:rPr>
        <w:t>盐城市海兴控股集团有限公司</w:t>
      </w:r>
      <w:r>
        <w:rPr>
          <w:kern w:val="0"/>
          <w:sz w:val="24"/>
        </w:rPr>
        <w:t>：</w:t>
      </w:r>
    </w:p>
    <w:p w14:paraId="5F32EF0D">
      <w:pPr>
        <w:widowControl/>
        <w:numPr>
          <w:ilvl w:val="0"/>
          <w:numId w:val="4"/>
        </w:numPr>
        <w:adjustRightInd w:val="0"/>
        <w:spacing w:line="500" w:lineRule="atLeast"/>
        <w:ind w:firstLine="480"/>
        <w:jc w:val="left"/>
        <w:rPr>
          <w:kern w:val="0"/>
          <w:sz w:val="24"/>
        </w:rPr>
      </w:pPr>
      <w:r>
        <w:rPr>
          <w:kern w:val="0"/>
          <w:sz w:val="24"/>
        </w:rPr>
        <w:t>根据已收到的</w:t>
      </w:r>
      <w:r>
        <w:rPr>
          <w:rFonts w:hint="eastAsia" w:cs="宋体" w:asciiTheme="majorEastAsia" w:hAnsiTheme="majorEastAsia" w:eastAsiaTheme="majorEastAsia"/>
          <w:bCs/>
          <w:sz w:val="24"/>
          <w:u w:val="single"/>
        </w:rPr>
        <w:t xml:space="preserve"> </w:t>
      </w:r>
      <w:r>
        <w:rPr>
          <w:rFonts w:hint="eastAsia" w:cs="宋体" w:asciiTheme="majorEastAsia" w:hAnsiTheme="majorEastAsia" w:eastAsiaTheme="majorEastAsia"/>
          <w:bCs/>
          <w:sz w:val="24"/>
          <w:u w:val="single"/>
          <w:lang w:eastAsia="zh-CN"/>
        </w:rPr>
        <w:t>邻里中心宿舍楼门禁系统采购项目</w:t>
      </w:r>
      <w:r>
        <w:rPr>
          <w:rFonts w:hint="eastAsia" w:cs="宋体" w:asciiTheme="majorEastAsia" w:hAnsiTheme="majorEastAsia" w:eastAsiaTheme="majorEastAsia"/>
          <w:bCs/>
          <w:sz w:val="24"/>
          <w:u w:val="single"/>
        </w:rPr>
        <w:t xml:space="preserve"> </w:t>
      </w:r>
      <w:r>
        <w:rPr>
          <w:kern w:val="0"/>
          <w:sz w:val="24"/>
        </w:rPr>
        <w:t>招标文件，我单位经考察现场和研究贵方的招标文件后，决定无保留地接受招标文件所有条款，愿按</w:t>
      </w:r>
      <w:r>
        <w:rPr>
          <w:kern w:val="0"/>
          <w:sz w:val="24"/>
          <w:u w:val="single"/>
        </w:rPr>
        <w:t xml:space="preserve">       </w:t>
      </w:r>
      <w:r>
        <w:rPr>
          <w:rFonts w:hint="eastAsia"/>
          <w:kern w:val="0"/>
          <w:sz w:val="24"/>
          <w:u w:val="single"/>
        </w:rPr>
        <w:t xml:space="preserve">   </w:t>
      </w:r>
      <w:r>
        <w:rPr>
          <w:kern w:val="0"/>
          <w:sz w:val="24"/>
        </w:rPr>
        <w:t>元的总价承担本</w:t>
      </w:r>
      <w:r>
        <w:rPr>
          <w:rFonts w:hint="eastAsia"/>
          <w:kern w:val="0"/>
          <w:sz w:val="24"/>
        </w:rPr>
        <w:t>项目</w:t>
      </w:r>
      <w:r>
        <w:rPr>
          <w:kern w:val="0"/>
          <w:sz w:val="24"/>
        </w:rPr>
        <w:t>招标范围内的所有服务内容。</w:t>
      </w:r>
    </w:p>
    <w:p w14:paraId="426AC690">
      <w:pPr>
        <w:widowControl/>
        <w:adjustRightInd w:val="0"/>
        <w:spacing w:line="500" w:lineRule="atLeast"/>
        <w:ind w:firstLine="480"/>
        <w:jc w:val="left"/>
        <w:rPr>
          <w:kern w:val="0"/>
          <w:sz w:val="24"/>
        </w:rPr>
      </w:pPr>
      <w:r>
        <w:rPr>
          <w:kern w:val="0"/>
          <w:sz w:val="24"/>
        </w:rPr>
        <w:t>2、</w:t>
      </w:r>
      <w:r>
        <w:rPr>
          <w:rFonts w:hint="eastAsia"/>
          <w:kern w:val="0"/>
          <w:sz w:val="24"/>
        </w:rPr>
        <w:t>供货期限（含安装调试工期）：</w:t>
      </w:r>
      <w:r>
        <w:rPr>
          <w:rFonts w:hint="eastAsia"/>
          <w:sz w:val="24"/>
          <w:u w:val="single"/>
        </w:rPr>
        <w:t xml:space="preserve">     日历天</w:t>
      </w:r>
    </w:p>
    <w:p w14:paraId="1D739182">
      <w:pPr>
        <w:widowControl/>
        <w:adjustRightInd w:val="0"/>
        <w:spacing w:line="500" w:lineRule="atLeast"/>
        <w:ind w:firstLine="480"/>
        <w:jc w:val="left"/>
      </w:pPr>
      <w:r>
        <w:rPr>
          <w:rFonts w:hint="eastAsia"/>
          <w:kern w:val="0"/>
          <w:sz w:val="24"/>
        </w:rPr>
        <w:t>3</w:t>
      </w:r>
      <w:r>
        <w:rPr>
          <w:kern w:val="0"/>
          <w:sz w:val="24"/>
        </w:rPr>
        <w:t>、</w:t>
      </w:r>
      <w:r>
        <w:rPr>
          <w:rFonts w:hint="eastAsia"/>
          <w:kern w:val="0"/>
          <w:sz w:val="24"/>
        </w:rPr>
        <w:t>质量保修期：</w:t>
      </w:r>
      <w:r>
        <w:rPr>
          <w:rFonts w:hint="eastAsia"/>
          <w:sz w:val="24"/>
          <w:u w:val="single"/>
        </w:rPr>
        <w:t>2年（自最终验收合格、交付使用之日起计算。）</w:t>
      </w:r>
    </w:p>
    <w:p w14:paraId="2D48F035">
      <w:pPr>
        <w:widowControl/>
        <w:adjustRightInd w:val="0"/>
        <w:spacing w:line="500" w:lineRule="atLeast"/>
        <w:ind w:firstLine="480"/>
        <w:jc w:val="left"/>
        <w:rPr>
          <w:kern w:val="0"/>
          <w:sz w:val="24"/>
        </w:rPr>
      </w:pPr>
      <w:r>
        <w:rPr>
          <w:rFonts w:hint="eastAsia"/>
          <w:kern w:val="0"/>
          <w:sz w:val="24"/>
        </w:rPr>
        <w:t>4</w:t>
      </w:r>
      <w:r>
        <w:rPr>
          <w:kern w:val="0"/>
          <w:sz w:val="24"/>
        </w:rPr>
        <w:t>、一旦我方中标，</w:t>
      </w:r>
      <w:r>
        <w:rPr>
          <w:sz w:val="24"/>
        </w:rPr>
        <w:t>服务时间服从招标人的要求，服务质量符合招标文件及现行相关文件规定</w:t>
      </w:r>
      <w:r>
        <w:rPr>
          <w:kern w:val="0"/>
          <w:sz w:val="24"/>
          <w:lang w:val="zh-CN"/>
        </w:rPr>
        <w:t>。</w:t>
      </w:r>
      <w:r>
        <w:rPr>
          <w:kern w:val="0"/>
          <w:sz w:val="24"/>
        </w:rPr>
        <w:t>如果违约，贵方有权中止我方中标并选择</w:t>
      </w:r>
      <w:r>
        <w:rPr>
          <w:rFonts w:hint="eastAsia"/>
          <w:kern w:val="0"/>
          <w:sz w:val="24"/>
        </w:rPr>
        <w:t>其他服务</w:t>
      </w:r>
      <w:r>
        <w:rPr>
          <w:kern w:val="0"/>
          <w:sz w:val="24"/>
        </w:rPr>
        <w:t>单位。</w:t>
      </w:r>
    </w:p>
    <w:p w14:paraId="24B4E76B">
      <w:pPr>
        <w:widowControl/>
        <w:adjustRightInd w:val="0"/>
        <w:spacing w:line="500" w:lineRule="atLeast"/>
        <w:ind w:firstLine="480"/>
        <w:rPr>
          <w:kern w:val="0"/>
          <w:sz w:val="24"/>
        </w:rPr>
      </w:pPr>
      <w:r>
        <w:rPr>
          <w:rFonts w:hint="eastAsia"/>
          <w:kern w:val="0"/>
          <w:sz w:val="24"/>
        </w:rPr>
        <w:t>5</w:t>
      </w:r>
      <w:r>
        <w:rPr>
          <w:kern w:val="0"/>
          <w:sz w:val="24"/>
        </w:rPr>
        <w:t>、若招标人对招标范围及内容有局部调整，我方承诺无偿服务，直到招标人满意为止。</w:t>
      </w:r>
    </w:p>
    <w:p w14:paraId="51B8CE91">
      <w:pPr>
        <w:widowControl/>
        <w:adjustRightInd w:val="0"/>
        <w:spacing w:line="500" w:lineRule="atLeast"/>
        <w:ind w:firstLine="480" w:firstLineChars="200"/>
        <w:jc w:val="left"/>
        <w:rPr>
          <w:kern w:val="0"/>
          <w:sz w:val="24"/>
        </w:rPr>
      </w:pPr>
      <w:r>
        <w:rPr>
          <w:rFonts w:hint="eastAsia"/>
          <w:kern w:val="0"/>
          <w:sz w:val="24"/>
        </w:rPr>
        <w:t>6</w:t>
      </w:r>
      <w:r>
        <w:rPr>
          <w:kern w:val="0"/>
          <w:sz w:val="24"/>
        </w:rPr>
        <w:t>、本次投标，我单位派出的项目负责人为</w:t>
      </w:r>
      <w:r>
        <w:rPr>
          <w:kern w:val="0"/>
          <w:sz w:val="24"/>
          <w:u w:val="single"/>
        </w:rPr>
        <w:t xml:space="preserve">          </w:t>
      </w:r>
      <w:r>
        <w:rPr>
          <w:rFonts w:hint="eastAsia"/>
          <w:kern w:val="0"/>
          <w:sz w:val="24"/>
        </w:rPr>
        <w:t>，联系方式</w:t>
      </w:r>
      <w:r>
        <w:rPr>
          <w:rFonts w:hint="eastAsia"/>
          <w:kern w:val="0"/>
          <w:sz w:val="24"/>
          <w:u w:val="single"/>
        </w:rPr>
        <w:t xml:space="preserve">：             </w:t>
      </w:r>
      <w:r>
        <w:rPr>
          <w:kern w:val="0"/>
          <w:sz w:val="24"/>
        </w:rPr>
        <w:t>。</w:t>
      </w:r>
    </w:p>
    <w:p w14:paraId="0D4B63AC">
      <w:pPr>
        <w:widowControl/>
        <w:adjustRightInd w:val="0"/>
        <w:spacing w:line="500" w:lineRule="atLeast"/>
        <w:ind w:firstLine="480"/>
        <w:rPr>
          <w:kern w:val="0"/>
          <w:sz w:val="24"/>
        </w:rPr>
      </w:pPr>
      <w:r>
        <w:rPr>
          <w:rFonts w:hint="eastAsia"/>
          <w:kern w:val="0"/>
          <w:sz w:val="24"/>
        </w:rPr>
        <w:t>7</w:t>
      </w:r>
      <w:r>
        <w:rPr>
          <w:kern w:val="0"/>
          <w:sz w:val="24"/>
        </w:rPr>
        <w:t>、我方理解：你方不必定授标给最低服务费报价的投标人或其他任一投标人。</w:t>
      </w:r>
    </w:p>
    <w:p w14:paraId="4BEB8A4B">
      <w:pPr>
        <w:widowControl/>
        <w:adjustRightInd w:val="0"/>
        <w:spacing w:line="500" w:lineRule="atLeast"/>
        <w:ind w:firstLine="480"/>
        <w:rPr>
          <w:kern w:val="0"/>
          <w:sz w:val="24"/>
        </w:rPr>
      </w:pPr>
      <w:r>
        <w:rPr>
          <w:rFonts w:hint="eastAsia"/>
          <w:kern w:val="0"/>
          <w:sz w:val="24"/>
        </w:rPr>
        <w:t>8</w:t>
      </w:r>
      <w:r>
        <w:rPr>
          <w:kern w:val="0"/>
          <w:sz w:val="24"/>
        </w:rPr>
        <w:t>、我方同意所提交的投标文件在“投标须知”中规定的投标有效期内有效，在此期间如果中标，我方将受此约束。严格遵守国家法律、法规及江苏省、盐城市现行招投标管理的规定及招标文件要求，如有违反，贵方有权取消我方的投标资格。</w:t>
      </w:r>
    </w:p>
    <w:p w14:paraId="3470A121">
      <w:pPr>
        <w:widowControl/>
        <w:adjustRightInd w:val="0"/>
        <w:spacing w:line="500" w:lineRule="atLeast"/>
        <w:ind w:firstLine="480"/>
        <w:jc w:val="left"/>
        <w:rPr>
          <w:kern w:val="0"/>
          <w:sz w:val="24"/>
        </w:rPr>
      </w:pPr>
      <w:r>
        <w:rPr>
          <w:rFonts w:hint="eastAsia"/>
          <w:kern w:val="0"/>
          <w:sz w:val="24"/>
        </w:rPr>
        <w:t>9</w:t>
      </w:r>
      <w:r>
        <w:rPr>
          <w:kern w:val="0"/>
          <w:sz w:val="24"/>
        </w:rPr>
        <w:t>、你方的中标通知书和本投标文件将成为约束双方的合同文件的组成部分。</w:t>
      </w:r>
    </w:p>
    <w:p w14:paraId="2A671A65">
      <w:pPr>
        <w:widowControl/>
        <w:adjustRightInd w:val="0"/>
        <w:spacing w:line="500" w:lineRule="atLeast"/>
        <w:ind w:firstLine="840" w:firstLineChars="350"/>
        <w:jc w:val="left"/>
        <w:rPr>
          <w:kern w:val="0"/>
          <w:sz w:val="24"/>
        </w:rPr>
      </w:pPr>
      <w:r>
        <w:rPr>
          <w:kern w:val="0"/>
          <w:sz w:val="24"/>
        </w:rPr>
        <w:t>投 标 人：</w:t>
      </w:r>
      <w:r>
        <w:rPr>
          <w:kern w:val="0"/>
          <w:sz w:val="24"/>
          <w:u w:val="single"/>
        </w:rPr>
        <w:t xml:space="preserve">              </w:t>
      </w:r>
      <w:r>
        <w:rPr>
          <w:kern w:val="0"/>
          <w:sz w:val="24"/>
          <w:u w:val="single"/>
        </w:rPr>
        <w:tab/>
      </w:r>
      <w:r>
        <w:rPr>
          <w:kern w:val="0"/>
          <w:sz w:val="24"/>
          <w:u w:val="single"/>
        </w:rPr>
        <w:tab/>
      </w:r>
      <w:r>
        <w:rPr>
          <w:kern w:val="0"/>
          <w:sz w:val="24"/>
          <w:u w:val="single"/>
        </w:rPr>
        <w:tab/>
      </w:r>
      <w:r>
        <w:rPr>
          <w:kern w:val="0"/>
          <w:sz w:val="24"/>
          <w:u w:val="single"/>
        </w:rPr>
        <w:tab/>
      </w:r>
      <w:r>
        <w:rPr>
          <w:kern w:val="0"/>
          <w:sz w:val="24"/>
        </w:rPr>
        <w:t xml:space="preserve"> （盖章）</w:t>
      </w:r>
    </w:p>
    <w:p w14:paraId="16B31483">
      <w:pPr>
        <w:widowControl/>
        <w:adjustRightInd w:val="0"/>
        <w:spacing w:line="500" w:lineRule="atLeast"/>
        <w:ind w:firstLine="840" w:firstLineChars="350"/>
        <w:jc w:val="left"/>
        <w:rPr>
          <w:kern w:val="0"/>
          <w:sz w:val="24"/>
        </w:rPr>
      </w:pPr>
      <w:r>
        <w:rPr>
          <w:kern w:val="0"/>
          <w:sz w:val="24"/>
        </w:rPr>
        <w:t>单位地址：</w:t>
      </w:r>
      <w:r>
        <w:rPr>
          <w:kern w:val="0"/>
          <w:sz w:val="24"/>
          <w:u w:val="single"/>
        </w:rPr>
        <w:tab/>
      </w:r>
      <w:r>
        <w:rPr>
          <w:kern w:val="0"/>
          <w:sz w:val="24"/>
          <w:u w:val="single"/>
        </w:rPr>
        <w:tab/>
      </w:r>
      <w:r>
        <w:rPr>
          <w:kern w:val="0"/>
          <w:sz w:val="24"/>
          <w:u w:val="single"/>
        </w:rPr>
        <w:tab/>
      </w:r>
      <w:r>
        <w:rPr>
          <w:kern w:val="0"/>
          <w:sz w:val="24"/>
          <w:u w:val="single"/>
        </w:rPr>
        <w:tab/>
      </w:r>
      <w:r>
        <w:rPr>
          <w:kern w:val="0"/>
          <w:sz w:val="24"/>
          <w:u w:val="single"/>
        </w:rPr>
        <w:tab/>
      </w:r>
      <w:r>
        <w:rPr>
          <w:kern w:val="0"/>
          <w:sz w:val="24"/>
          <w:u w:val="single"/>
        </w:rPr>
        <w:tab/>
      </w:r>
      <w:r>
        <w:rPr>
          <w:kern w:val="0"/>
          <w:sz w:val="24"/>
          <w:u w:val="single"/>
        </w:rPr>
        <w:t xml:space="preserve">              </w:t>
      </w:r>
    </w:p>
    <w:p w14:paraId="7A9D1592">
      <w:pPr>
        <w:widowControl/>
        <w:adjustRightInd w:val="0"/>
        <w:spacing w:line="500" w:lineRule="atLeast"/>
        <w:ind w:firstLine="840" w:firstLineChars="350"/>
        <w:jc w:val="left"/>
        <w:rPr>
          <w:kern w:val="0"/>
          <w:sz w:val="24"/>
        </w:rPr>
      </w:pPr>
      <w:r>
        <w:rPr>
          <w:kern w:val="0"/>
          <w:sz w:val="24"/>
        </w:rPr>
        <w:t>法定代表人或其委托代理人（签字或盖章）：</w:t>
      </w:r>
      <w:r>
        <w:rPr>
          <w:kern w:val="0"/>
          <w:sz w:val="24"/>
          <w:u w:val="single"/>
        </w:rPr>
        <w:t xml:space="preserve">               </w:t>
      </w:r>
    </w:p>
    <w:p w14:paraId="4F119371">
      <w:pPr>
        <w:widowControl/>
        <w:adjustRightInd w:val="0"/>
        <w:spacing w:line="500" w:lineRule="atLeast"/>
        <w:ind w:firstLine="840" w:firstLineChars="350"/>
        <w:jc w:val="left"/>
        <w:rPr>
          <w:kern w:val="0"/>
          <w:sz w:val="24"/>
        </w:rPr>
      </w:pPr>
      <w:r>
        <w:rPr>
          <w:kern w:val="0"/>
          <w:sz w:val="24"/>
        </w:rPr>
        <w:t>邮政编码：</w:t>
      </w:r>
      <w:r>
        <w:rPr>
          <w:kern w:val="0"/>
          <w:sz w:val="24"/>
          <w:u w:val="single"/>
        </w:rPr>
        <w:tab/>
      </w:r>
      <w:r>
        <w:rPr>
          <w:kern w:val="0"/>
          <w:sz w:val="24"/>
          <w:u w:val="single"/>
        </w:rPr>
        <w:t xml:space="preserve">          </w:t>
      </w:r>
      <w:r>
        <w:rPr>
          <w:kern w:val="0"/>
          <w:sz w:val="24"/>
        </w:rPr>
        <w:t xml:space="preserve"> 电话：</w:t>
      </w:r>
      <w:r>
        <w:rPr>
          <w:kern w:val="0"/>
          <w:sz w:val="24"/>
          <w:u w:val="single"/>
        </w:rPr>
        <w:tab/>
      </w:r>
      <w:r>
        <w:rPr>
          <w:kern w:val="0"/>
          <w:sz w:val="24"/>
          <w:u w:val="single"/>
        </w:rPr>
        <w:t xml:space="preserve">          </w:t>
      </w:r>
      <w:r>
        <w:rPr>
          <w:kern w:val="0"/>
          <w:sz w:val="24"/>
        </w:rPr>
        <w:t xml:space="preserve"> 传真：</w:t>
      </w:r>
      <w:r>
        <w:rPr>
          <w:kern w:val="0"/>
          <w:sz w:val="24"/>
          <w:u w:val="single"/>
        </w:rPr>
        <w:tab/>
      </w:r>
      <w:r>
        <w:rPr>
          <w:kern w:val="0"/>
          <w:sz w:val="24"/>
          <w:u w:val="single"/>
        </w:rPr>
        <w:t xml:space="preserve">        </w:t>
      </w:r>
    </w:p>
    <w:p w14:paraId="1CB68B44">
      <w:pPr>
        <w:widowControl/>
        <w:adjustRightInd w:val="0"/>
        <w:spacing w:line="500" w:lineRule="atLeast"/>
        <w:ind w:firstLine="840" w:firstLineChars="350"/>
        <w:jc w:val="left"/>
        <w:rPr>
          <w:kern w:val="0"/>
          <w:sz w:val="24"/>
        </w:rPr>
      </w:pPr>
      <w:r>
        <w:rPr>
          <w:kern w:val="0"/>
          <w:sz w:val="24"/>
        </w:rPr>
        <w:t>开户银行名称：</w:t>
      </w:r>
      <w:r>
        <w:rPr>
          <w:kern w:val="0"/>
          <w:sz w:val="24"/>
          <w:u w:val="single"/>
        </w:rPr>
        <w:t xml:space="preserve">                                         </w:t>
      </w:r>
    </w:p>
    <w:p w14:paraId="3A61FB45">
      <w:pPr>
        <w:widowControl/>
        <w:adjustRightInd w:val="0"/>
        <w:spacing w:line="500" w:lineRule="atLeast"/>
        <w:ind w:firstLine="840" w:firstLineChars="350"/>
        <w:jc w:val="left"/>
        <w:rPr>
          <w:kern w:val="0"/>
          <w:sz w:val="24"/>
        </w:rPr>
      </w:pPr>
      <w:r>
        <w:rPr>
          <w:rFonts w:hint="eastAsia"/>
          <w:kern w:val="0"/>
          <w:sz w:val="24"/>
        </w:rPr>
        <w:t>开户银行账号</w:t>
      </w:r>
      <w:r>
        <w:rPr>
          <w:kern w:val="0"/>
          <w:sz w:val="24"/>
        </w:rPr>
        <w:t>：</w:t>
      </w:r>
      <w:r>
        <w:rPr>
          <w:kern w:val="0"/>
          <w:sz w:val="24"/>
          <w:u w:val="single"/>
        </w:rPr>
        <w:tab/>
      </w:r>
      <w:r>
        <w:rPr>
          <w:kern w:val="0"/>
          <w:sz w:val="24"/>
          <w:u w:val="single"/>
        </w:rPr>
        <w:tab/>
      </w:r>
      <w:r>
        <w:rPr>
          <w:kern w:val="0"/>
          <w:sz w:val="24"/>
          <w:u w:val="single"/>
        </w:rPr>
        <w:tab/>
      </w:r>
      <w:r>
        <w:rPr>
          <w:kern w:val="0"/>
          <w:sz w:val="24"/>
          <w:u w:val="single"/>
        </w:rPr>
        <w:tab/>
      </w:r>
      <w:r>
        <w:rPr>
          <w:kern w:val="0"/>
          <w:sz w:val="24"/>
          <w:u w:val="single"/>
        </w:rPr>
        <w:t xml:space="preserve">                    </w:t>
      </w:r>
      <w:r>
        <w:rPr>
          <w:kern w:val="0"/>
          <w:sz w:val="24"/>
        </w:rPr>
        <w:t xml:space="preserve"> </w:t>
      </w:r>
      <w:r>
        <w:rPr>
          <w:kern w:val="0"/>
          <w:sz w:val="24"/>
        </w:rPr>
        <w:tab/>
      </w:r>
    </w:p>
    <w:p w14:paraId="37C8BA38">
      <w:pPr>
        <w:widowControl/>
        <w:adjustRightInd w:val="0"/>
        <w:spacing w:line="500" w:lineRule="atLeast"/>
        <w:ind w:firstLine="840" w:firstLineChars="350"/>
        <w:jc w:val="left"/>
        <w:rPr>
          <w:kern w:val="0"/>
          <w:sz w:val="24"/>
        </w:rPr>
      </w:pPr>
      <w:r>
        <w:rPr>
          <w:kern w:val="0"/>
          <w:sz w:val="24"/>
        </w:rPr>
        <w:t>日        期：</w:t>
      </w:r>
      <w:r>
        <w:rPr>
          <w:kern w:val="0"/>
          <w:sz w:val="24"/>
          <w:u w:val="single"/>
        </w:rPr>
        <w:tab/>
      </w:r>
      <w:r>
        <w:rPr>
          <w:kern w:val="0"/>
          <w:sz w:val="24"/>
          <w:u w:val="single"/>
        </w:rPr>
        <w:t xml:space="preserve">      </w:t>
      </w:r>
      <w:r>
        <w:rPr>
          <w:kern w:val="0"/>
          <w:sz w:val="24"/>
        </w:rPr>
        <w:t>年</w:t>
      </w:r>
      <w:r>
        <w:rPr>
          <w:kern w:val="0"/>
          <w:sz w:val="24"/>
          <w:u w:val="single"/>
        </w:rPr>
        <w:tab/>
      </w:r>
      <w:r>
        <w:rPr>
          <w:kern w:val="0"/>
          <w:sz w:val="24"/>
          <w:u w:val="single"/>
        </w:rPr>
        <w:t xml:space="preserve">     </w:t>
      </w:r>
      <w:r>
        <w:rPr>
          <w:kern w:val="0"/>
          <w:sz w:val="24"/>
        </w:rPr>
        <w:t>月</w:t>
      </w:r>
      <w:r>
        <w:rPr>
          <w:kern w:val="0"/>
          <w:sz w:val="24"/>
          <w:u w:val="single"/>
        </w:rPr>
        <w:tab/>
      </w:r>
      <w:r>
        <w:rPr>
          <w:kern w:val="0"/>
          <w:sz w:val="24"/>
          <w:u w:val="single"/>
        </w:rPr>
        <w:t xml:space="preserve">     </w:t>
      </w:r>
      <w:r>
        <w:rPr>
          <w:kern w:val="0"/>
          <w:sz w:val="24"/>
        </w:rPr>
        <w:t>日</w:t>
      </w:r>
    </w:p>
    <w:p w14:paraId="768B2F66">
      <w:pPr>
        <w:pStyle w:val="36"/>
        <w:spacing w:line="443" w:lineRule="exact"/>
        <w:ind w:left="2654" w:right="0"/>
        <w:rPr>
          <w:rFonts w:ascii="宋体" w:hAnsi="宋体" w:eastAsia="宋体" w:cs="宋体"/>
        </w:rPr>
      </w:pPr>
    </w:p>
    <w:p w14:paraId="77CCCF2F">
      <w:pPr>
        <w:pStyle w:val="39"/>
        <w:spacing w:line="363" w:lineRule="exact"/>
        <w:ind w:left="0" w:right="0"/>
        <w:jc w:val="center"/>
        <w:rPr>
          <w:b/>
          <w:bCs/>
        </w:rPr>
      </w:pPr>
    </w:p>
    <w:p w14:paraId="122F8834">
      <w:pPr>
        <w:pStyle w:val="39"/>
        <w:spacing w:line="363" w:lineRule="exact"/>
        <w:ind w:left="0" w:right="0"/>
        <w:jc w:val="center"/>
        <w:rPr>
          <w:b/>
          <w:bCs/>
        </w:rPr>
      </w:pPr>
      <w:r>
        <w:rPr>
          <w:b/>
          <w:bCs/>
        </w:rPr>
        <w:t>投标函附录</w:t>
      </w:r>
    </w:p>
    <w:p w14:paraId="57761A94">
      <w:pPr>
        <w:pStyle w:val="39"/>
        <w:spacing w:line="363" w:lineRule="exact"/>
        <w:ind w:left="0" w:right="0"/>
        <w:jc w:val="center"/>
      </w:pPr>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14"/>
        <w:gridCol w:w="4045"/>
        <w:gridCol w:w="1561"/>
      </w:tblGrid>
      <w:tr w14:paraId="0CD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vAlign w:val="center"/>
          </w:tcPr>
          <w:p w14:paraId="5B8880A8">
            <w:pPr>
              <w:pStyle w:val="40"/>
              <w:spacing w:before="26"/>
              <w:ind w:right="-204"/>
              <w:jc w:val="center"/>
              <w:rPr>
                <w:szCs w:val="21"/>
              </w:rPr>
            </w:pPr>
            <w:r>
              <w:rPr>
                <w:rFonts w:hint="eastAsia"/>
                <w:b/>
                <w:szCs w:val="21"/>
              </w:rPr>
              <w:t>序号</w:t>
            </w:r>
          </w:p>
        </w:tc>
        <w:tc>
          <w:tcPr>
            <w:tcW w:w="2614" w:type="dxa"/>
            <w:vAlign w:val="center"/>
          </w:tcPr>
          <w:p w14:paraId="48318537">
            <w:pPr>
              <w:pStyle w:val="40"/>
              <w:spacing w:before="26"/>
              <w:ind w:left="215" w:right="215"/>
              <w:jc w:val="center"/>
              <w:rPr>
                <w:szCs w:val="21"/>
              </w:rPr>
            </w:pPr>
            <w:r>
              <w:rPr>
                <w:rFonts w:hint="eastAsia"/>
                <w:b/>
                <w:szCs w:val="21"/>
              </w:rPr>
              <w:t>条款名称</w:t>
            </w:r>
          </w:p>
        </w:tc>
        <w:tc>
          <w:tcPr>
            <w:tcW w:w="4045" w:type="dxa"/>
            <w:vAlign w:val="center"/>
          </w:tcPr>
          <w:p w14:paraId="659C131C">
            <w:pPr>
              <w:pStyle w:val="40"/>
              <w:spacing w:before="26"/>
              <w:jc w:val="center"/>
              <w:rPr>
                <w:szCs w:val="21"/>
              </w:rPr>
            </w:pPr>
            <w:r>
              <w:rPr>
                <w:rFonts w:hint="eastAsia"/>
                <w:b/>
                <w:szCs w:val="21"/>
              </w:rPr>
              <w:t>约定内容</w:t>
            </w:r>
          </w:p>
        </w:tc>
        <w:tc>
          <w:tcPr>
            <w:tcW w:w="1561" w:type="dxa"/>
            <w:vAlign w:val="center"/>
          </w:tcPr>
          <w:p w14:paraId="714FE351">
            <w:pPr>
              <w:pStyle w:val="40"/>
              <w:spacing w:before="26"/>
              <w:ind w:right="-135"/>
              <w:jc w:val="center"/>
              <w:rPr>
                <w:szCs w:val="21"/>
              </w:rPr>
            </w:pPr>
            <w:r>
              <w:rPr>
                <w:rFonts w:hint="eastAsia"/>
                <w:b/>
                <w:szCs w:val="21"/>
              </w:rPr>
              <w:t>备注</w:t>
            </w:r>
          </w:p>
        </w:tc>
      </w:tr>
      <w:tr w14:paraId="640D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vAlign w:val="center"/>
          </w:tcPr>
          <w:p w14:paraId="009594D7">
            <w:pPr>
              <w:pStyle w:val="40"/>
              <w:spacing w:before="94"/>
              <w:jc w:val="center"/>
              <w:rPr>
                <w:szCs w:val="21"/>
              </w:rPr>
            </w:pPr>
            <w:r>
              <w:rPr>
                <w:rFonts w:hint="eastAsia"/>
                <w:szCs w:val="21"/>
              </w:rPr>
              <w:t>1</w:t>
            </w:r>
          </w:p>
        </w:tc>
        <w:tc>
          <w:tcPr>
            <w:tcW w:w="2614" w:type="dxa"/>
            <w:vAlign w:val="center"/>
          </w:tcPr>
          <w:p w14:paraId="0466C0D2">
            <w:pPr>
              <w:pStyle w:val="40"/>
              <w:spacing w:before="107"/>
              <w:ind w:left="215" w:right="214"/>
              <w:jc w:val="center"/>
              <w:rPr>
                <w:szCs w:val="21"/>
              </w:rPr>
            </w:pPr>
            <w:r>
              <w:rPr>
                <w:rFonts w:hint="eastAsia"/>
                <w:szCs w:val="21"/>
              </w:rPr>
              <w:t>项目负责人</w:t>
            </w:r>
          </w:p>
        </w:tc>
        <w:tc>
          <w:tcPr>
            <w:tcW w:w="4045" w:type="dxa"/>
            <w:vAlign w:val="center"/>
          </w:tcPr>
          <w:p w14:paraId="6436A95D">
            <w:pPr>
              <w:pStyle w:val="40"/>
              <w:spacing w:before="95"/>
              <w:rPr>
                <w:szCs w:val="21"/>
              </w:rPr>
            </w:pPr>
          </w:p>
        </w:tc>
        <w:tc>
          <w:tcPr>
            <w:tcW w:w="1561" w:type="dxa"/>
          </w:tcPr>
          <w:p w14:paraId="69CA6154">
            <w:pPr>
              <w:pStyle w:val="8"/>
              <w:rPr>
                <w:rFonts w:ascii="宋体" w:hAnsi="宋体" w:cs="宋体"/>
              </w:rPr>
            </w:pPr>
          </w:p>
        </w:tc>
      </w:tr>
      <w:tr w14:paraId="1718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vAlign w:val="center"/>
          </w:tcPr>
          <w:p w14:paraId="7AE42AF0">
            <w:pPr>
              <w:pStyle w:val="40"/>
              <w:spacing w:before="92"/>
              <w:jc w:val="center"/>
              <w:rPr>
                <w:szCs w:val="21"/>
              </w:rPr>
            </w:pPr>
            <w:r>
              <w:rPr>
                <w:rFonts w:hint="eastAsia"/>
                <w:szCs w:val="21"/>
              </w:rPr>
              <w:t>2</w:t>
            </w:r>
          </w:p>
        </w:tc>
        <w:tc>
          <w:tcPr>
            <w:tcW w:w="2614" w:type="dxa"/>
            <w:vAlign w:val="center"/>
          </w:tcPr>
          <w:p w14:paraId="5D0A7666">
            <w:pPr>
              <w:pStyle w:val="40"/>
              <w:spacing w:before="107"/>
              <w:ind w:left="215" w:right="215"/>
              <w:jc w:val="center"/>
              <w:rPr>
                <w:szCs w:val="21"/>
              </w:rPr>
            </w:pPr>
            <w:r>
              <w:rPr>
                <w:rFonts w:hint="eastAsia"/>
                <w:szCs w:val="21"/>
              </w:rPr>
              <w:t>供货期限</w:t>
            </w:r>
          </w:p>
        </w:tc>
        <w:tc>
          <w:tcPr>
            <w:tcW w:w="4045" w:type="dxa"/>
            <w:vAlign w:val="center"/>
          </w:tcPr>
          <w:p w14:paraId="369B697A">
            <w:pPr>
              <w:pStyle w:val="40"/>
              <w:tabs>
                <w:tab w:val="left" w:pos="734"/>
              </w:tabs>
              <w:spacing w:before="93"/>
              <w:rPr>
                <w:szCs w:val="21"/>
              </w:rPr>
            </w:pPr>
          </w:p>
        </w:tc>
        <w:tc>
          <w:tcPr>
            <w:tcW w:w="1561" w:type="dxa"/>
          </w:tcPr>
          <w:p w14:paraId="2379EF74">
            <w:pPr>
              <w:pStyle w:val="8"/>
              <w:rPr>
                <w:rFonts w:ascii="宋体" w:hAnsi="宋体" w:cs="宋体"/>
              </w:rPr>
            </w:pPr>
          </w:p>
        </w:tc>
      </w:tr>
      <w:tr w14:paraId="3645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vAlign w:val="center"/>
          </w:tcPr>
          <w:p w14:paraId="33F12EE9">
            <w:pPr>
              <w:pStyle w:val="40"/>
              <w:spacing w:before="94"/>
              <w:jc w:val="center"/>
              <w:rPr>
                <w:szCs w:val="21"/>
              </w:rPr>
            </w:pPr>
            <w:r>
              <w:rPr>
                <w:rFonts w:hint="eastAsia"/>
                <w:szCs w:val="21"/>
              </w:rPr>
              <w:t>3</w:t>
            </w:r>
          </w:p>
        </w:tc>
        <w:tc>
          <w:tcPr>
            <w:tcW w:w="2614" w:type="dxa"/>
            <w:vAlign w:val="center"/>
          </w:tcPr>
          <w:p w14:paraId="60D45EA6">
            <w:pPr>
              <w:pStyle w:val="40"/>
              <w:spacing w:before="107"/>
              <w:ind w:left="215" w:right="215"/>
              <w:jc w:val="center"/>
              <w:rPr>
                <w:szCs w:val="21"/>
              </w:rPr>
            </w:pPr>
            <w:r>
              <w:rPr>
                <w:rFonts w:hint="eastAsia"/>
                <w:szCs w:val="21"/>
              </w:rPr>
              <w:t>质量要求</w:t>
            </w:r>
          </w:p>
        </w:tc>
        <w:tc>
          <w:tcPr>
            <w:tcW w:w="4045" w:type="dxa"/>
            <w:vAlign w:val="center"/>
          </w:tcPr>
          <w:p w14:paraId="68AFE04B">
            <w:pPr>
              <w:pStyle w:val="40"/>
              <w:spacing w:before="107"/>
              <w:ind w:left="215" w:right="215"/>
              <w:jc w:val="center"/>
              <w:rPr>
                <w:szCs w:val="21"/>
              </w:rPr>
            </w:pPr>
            <w:r>
              <w:rPr>
                <w:rFonts w:hint="eastAsia"/>
                <w:szCs w:val="21"/>
              </w:rPr>
              <w:t>承诺满足招标文件要求</w:t>
            </w:r>
          </w:p>
        </w:tc>
        <w:tc>
          <w:tcPr>
            <w:tcW w:w="1561" w:type="dxa"/>
          </w:tcPr>
          <w:p w14:paraId="47903709">
            <w:pPr>
              <w:pStyle w:val="8"/>
              <w:rPr>
                <w:rFonts w:ascii="宋体" w:hAnsi="宋体" w:cs="宋体"/>
              </w:rPr>
            </w:pPr>
          </w:p>
        </w:tc>
      </w:tr>
      <w:tr w14:paraId="4A90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vAlign w:val="center"/>
          </w:tcPr>
          <w:p w14:paraId="7E67DF97">
            <w:pPr>
              <w:pStyle w:val="40"/>
              <w:spacing w:before="94"/>
              <w:jc w:val="center"/>
              <w:rPr>
                <w:szCs w:val="21"/>
              </w:rPr>
            </w:pPr>
            <w:r>
              <w:rPr>
                <w:rFonts w:hint="eastAsia"/>
                <w:szCs w:val="21"/>
              </w:rPr>
              <w:t>4</w:t>
            </w:r>
          </w:p>
        </w:tc>
        <w:tc>
          <w:tcPr>
            <w:tcW w:w="2614" w:type="dxa"/>
            <w:vAlign w:val="center"/>
          </w:tcPr>
          <w:p w14:paraId="0D6B6718">
            <w:pPr>
              <w:pStyle w:val="40"/>
              <w:spacing w:before="107"/>
              <w:ind w:left="215" w:right="215"/>
              <w:jc w:val="center"/>
              <w:rPr>
                <w:szCs w:val="21"/>
              </w:rPr>
            </w:pPr>
            <w:r>
              <w:rPr>
                <w:rFonts w:hint="eastAsia"/>
                <w:szCs w:val="21"/>
              </w:rPr>
              <w:t>合同价款确定方式</w:t>
            </w:r>
          </w:p>
        </w:tc>
        <w:tc>
          <w:tcPr>
            <w:tcW w:w="4045" w:type="dxa"/>
            <w:vAlign w:val="center"/>
          </w:tcPr>
          <w:p w14:paraId="22BC34D4">
            <w:pPr>
              <w:jc w:val="center"/>
              <w:rPr>
                <w:rFonts w:ascii="宋体" w:hAnsi="宋体" w:cs="宋体"/>
                <w:szCs w:val="21"/>
              </w:rPr>
            </w:pPr>
            <w:r>
              <w:rPr>
                <w:rFonts w:hint="eastAsia" w:ascii="宋体" w:hAnsi="宋体" w:cs="宋体"/>
                <w:kern w:val="0"/>
                <w:szCs w:val="21"/>
              </w:rPr>
              <w:t>全费用固定综合单价</w:t>
            </w:r>
          </w:p>
        </w:tc>
        <w:tc>
          <w:tcPr>
            <w:tcW w:w="1561" w:type="dxa"/>
          </w:tcPr>
          <w:p w14:paraId="18AA0E8F">
            <w:pPr>
              <w:pStyle w:val="8"/>
              <w:rPr>
                <w:rFonts w:ascii="宋体" w:hAnsi="宋体" w:cs="宋体"/>
              </w:rPr>
            </w:pPr>
          </w:p>
        </w:tc>
      </w:tr>
    </w:tbl>
    <w:p w14:paraId="041574C2">
      <w:pPr>
        <w:pStyle w:val="8"/>
        <w:rPr>
          <w:rFonts w:ascii="宋体" w:hAnsi="宋体" w:cs="宋体"/>
        </w:rPr>
      </w:pPr>
    </w:p>
    <w:p w14:paraId="2AD6EECC">
      <w:pPr>
        <w:pStyle w:val="8"/>
        <w:spacing w:before="11"/>
        <w:rPr>
          <w:rFonts w:ascii="宋体" w:hAnsi="宋体" w:cs="宋体"/>
        </w:rPr>
      </w:pPr>
    </w:p>
    <w:p w14:paraId="59AC0B99">
      <w:pPr>
        <w:pStyle w:val="8"/>
        <w:rPr>
          <w:rFonts w:ascii="宋体" w:hAnsi="宋体" w:cs="宋体"/>
        </w:rPr>
      </w:pPr>
    </w:p>
    <w:p w14:paraId="5FEF4731">
      <w:pPr>
        <w:pStyle w:val="8"/>
        <w:rPr>
          <w:rFonts w:ascii="宋体" w:hAnsi="宋体" w:cs="宋体"/>
        </w:rPr>
      </w:pPr>
    </w:p>
    <w:p w14:paraId="3A11D2C9">
      <w:pPr>
        <w:pStyle w:val="8"/>
        <w:tabs>
          <w:tab w:val="left" w:pos="7321"/>
        </w:tabs>
        <w:spacing w:before="36"/>
        <w:ind w:left="2701"/>
        <w:rPr>
          <w:rFonts w:ascii="宋体" w:hAnsi="宋体" w:cs="宋体"/>
        </w:rPr>
      </w:pPr>
      <w:r>
        <w:rPr>
          <w:rFonts w:hint="eastAsia" w:ascii="宋体" w:hAnsi="宋体" w:cs="宋体"/>
        </w:rPr>
        <w:t>投 标 人：</w:t>
      </w:r>
      <w:r>
        <w:rPr>
          <w:rFonts w:hint="eastAsia" w:ascii="宋体" w:hAnsi="宋体" w:cs="宋体"/>
          <w:u w:val="single"/>
        </w:rPr>
        <w:tab/>
      </w:r>
      <w:r>
        <w:rPr>
          <w:rFonts w:hint="eastAsia" w:ascii="宋体" w:hAnsi="宋体" w:cs="宋体"/>
        </w:rPr>
        <w:t>（盖单位章）</w:t>
      </w:r>
    </w:p>
    <w:p w14:paraId="656B45BF">
      <w:pPr>
        <w:pStyle w:val="8"/>
        <w:spacing w:before="12"/>
        <w:rPr>
          <w:rFonts w:ascii="宋体" w:hAnsi="宋体" w:cs="宋体"/>
        </w:rPr>
      </w:pPr>
    </w:p>
    <w:p w14:paraId="0AF62972">
      <w:pPr>
        <w:pStyle w:val="8"/>
        <w:tabs>
          <w:tab w:val="left" w:pos="6481"/>
        </w:tabs>
        <w:spacing w:before="37"/>
        <w:ind w:left="2701"/>
        <w:rPr>
          <w:rFonts w:ascii="宋体" w:hAnsi="宋体" w:cs="宋体"/>
        </w:rPr>
        <w:sectPr>
          <w:footerReference r:id="rId5" w:type="default"/>
          <w:pgSz w:w="12240" w:h="15840"/>
          <w:pgMar w:top="1417" w:right="1553" w:bottom="1417" w:left="1553" w:header="0" w:footer="918" w:gutter="0"/>
          <w:pgNumType w:fmt="decimal"/>
          <w:cols w:space="720" w:num="1"/>
          <w:docGrid w:linePitch="312" w:charSpace="0"/>
        </w:sectPr>
      </w:pPr>
      <w:r>
        <w:rPr>
          <w:rFonts w:hint="eastAsia" w:ascii="宋体" w:hAnsi="宋体" w:cs="宋体"/>
        </w:rPr>
        <w:t>法定代表人或其委托代理人：</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（签字或盖章）</w:t>
      </w:r>
    </w:p>
    <w:p w14:paraId="302C3888">
      <w:pPr>
        <w:spacing w:line="360" w:lineRule="auto"/>
        <w:jc w:val="center"/>
      </w:pPr>
      <w:r>
        <w:rPr>
          <w:rFonts w:hint="eastAsia" w:ascii="宋体" w:hAnsi="宋体" w:cs="宋体"/>
          <w:b/>
          <w:bCs/>
          <w:sz w:val="32"/>
          <w:szCs w:val="32"/>
        </w:rPr>
        <w:t>（二）投标报价明细表</w:t>
      </w:r>
    </w:p>
    <w:p w14:paraId="41C4871F">
      <w:pPr>
        <w:pStyle w:val="33"/>
        <w:rPr>
          <w:rFonts w:ascii="Times New Roman" w:cs="Times New Roman"/>
          <w:color w:val="auto"/>
        </w:rPr>
      </w:pPr>
      <w:r>
        <w:rPr>
          <w:rFonts w:hint="eastAsia" w:ascii="Times New Roman" w:cs="Times New Roman"/>
          <w:color w:val="auto"/>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935"/>
        <w:gridCol w:w="3285"/>
        <w:gridCol w:w="1080"/>
        <w:gridCol w:w="890"/>
        <w:gridCol w:w="1885"/>
        <w:gridCol w:w="1785"/>
        <w:gridCol w:w="1187"/>
      </w:tblGrid>
      <w:tr w14:paraId="2204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7F0B6D94">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序号</w:t>
            </w:r>
          </w:p>
        </w:tc>
        <w:tc>
          <w:tcPr>
            <w:tcW w:w="1935" w:type="dxa"/>
            <w:vAlign w:val="center"/>
          </w:tcPr>
          <w:p w14:paraId="497610CD">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项目名称</w:t>
            </w:r>
          </w:p>
        </w:tc>
        <w:tc>
          <w:tcPr>
            <w:tcW w:w="3285" w:type="dxa"/>
            <w:vAlign w:val="center"/>
          </w:tcPr>
          <w:p w14:paraId="659B178B">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项目特征</w:t>
            </w:r>
          </w:p>
        </w:tc>
        <w:tc>
          <w:tcPr>
            <w:tcW w:w="1080" w:type="dxa"/>
            <w:vAlign w:val="center"/>
          </w:tcPr>
          <w:p w14:paraId="628D6B17">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单位</w:t>
            </w:r>
          </w:p>
        </w:tc>
        <w:tc>
          <w:tcPr>
            <w:tcW w:w="890" w:type="dxa"/>
            <w:vAlign w:val="center"/>
          </w:tcPr>
          <w:p w14:paraId="44FF18D3">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数量</w:t>
            </w:r>
          </w:p>
        </w:tc>
        <w:tc>
          <w:tcPr>
            <w:tcW w:w="1885" w:type="dxa"/>
            <w:vAlign w:val="center"/>
          </w:tcPr>
          <w:p w14:paraId="78740B2A">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全费用综合单价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785" w:type="dxa"/>
            <w:vAlign w:val="center"/>
          </w:tcPr>
          <w:p w14:paraId="284A8047">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综合合价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87" w:type="dxa"/>
            <w:vAlign w:val="center"/>
          </w:tcPr>
          <w:p w14:paraId="6E383414">
            <w:pPr>
              <w:keepNext w:val="0"/>
              <w:keepLines w:val="0"/>
              <w:widowControl/>
              <w:suppressLineNumbers w:val="0"/>
              <w:jc w:val="center"/>
              <w:textAlignment w:val="center"/>
              <w:rPr>
                <w:rFonts w:hint="eastAsia" w:ascii="宋体" w:hAnsi="宋体" w:cs="宋体"/>
                <w:b/>
                <w:bCs/>
                <w:sz w:val="32"/>
                <w:szCs w:val="32"/>
                <w:vertAlign w:val="baseline"/>
              </w:rPr>
            </w:pPr>
            <w:r>
              <w:rPr>
                <w:rFonts w:hint="eastAsia" w:ascii="宋体" w:hAnsi="宋体" w:eastAsia="宋体" w:cs="宋体"/>
                <w:b/>
                <w:bCs/>
                <w:i w:val="0"/>
                <w:iCs w:val="0"/>
                <w:color w:val="000000"/>
                <w:kern w:val="0"/>
                <w:sz w:val="22"/>
                <w:szCs w:val="22"/>
                <w:u w:val="none"/>
                <w:lang w:val="en-US" w:eastAsia="zh-CN" w:bidi="ar"/>
              </w:rPr>
              <w:t>备注</w:t>
            </w:r>
          </w:p>
        </w:tc>
      </w:tr>
      <w:tr w14:paraId="09E4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903" w:type="dxa"/>
            <w:vAlign w:val="center"/>
          </w:tcPr>
          <w:p w14:paraId="7E0A43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35" w:type="dxa"/>
            <w:vAlign w:val="center"/>
          </w:tcPr>
          <w:p w14:paraId="2DE9DEB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一体式WIFI人脸考勤门禁</w:t>
            </w:r>
          </w:p>
        </w:tc>
        <w:tc>
          <w:tcPr>
            <w:tcW w:w="3285" w:type="dxa"/>
            <w:vAlign w:val="center"/>
          </w:tcPr>
          <w:p w14:paraId="228D282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1、7寸双目人脸门禁；支持人脸、考勤、WiFi免布线通讯（含壁挂安装支架）。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2、备注:需与原有人脸库及OA考勤系统无缝对接；无需二次开发对接。</w:t>
            </w:r>
          </w:p>
        </w:tc>
        <w:tc>
          <w:tcPr>
            <w:tcW w:w="1080" w:type="dxa"/>
            <w:vAlign w:val="center"/>
          </w:tcPr>
          <w:p w14:paraId="31F1FE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90" w:type="dxa"/>
            <w:vAlign w:val="center"/>
          </w:tcPr>
          <w:p w14:paraId="4E4B7D4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5" w:type="dxa"/>
            <w:vAlign w:val="center"/>
          </w:tcPr>
          <w:p w14:paraId="233ECBB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670BD6F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371358E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14CB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903" w:type="dxa"/>
            <w:vAlign w:val="center"/>
          </w:tcPr>
          <w:p w14:paraId="4F74F3F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935" w:type="dxa"/>
            <w:vAlign w:val="center"/>
          </w:tcPr>
          <w:p w14:paraId="68F6E2E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单门磁力锁</w:t>
            </w:r>
          </w:p>
        </w:tc>
        <w:tc>
          <w:tcPr>
            <w:tcW w:w="3285" w:type="dxa"/>
            <w:vAlign w:val="center"/>
          </w:tcPr>
          <w:p w14:paraId="6B5435E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1、标准型磁力锁是针对一般玻璃门、木门、防火门、推拉门、金属门设计的。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2、最大静态直线拉力不小280kg(600Lbs)。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3、断电开锁，满足消防要求。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4、具有电锁状态指示灯（例如：红灯为开锁状态， 绿灯为上锁状态）。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5、工作电压：12V/420mA 或 24V/210mA。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6、适用于多种门型安装使用。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7、备注：质保2年；只换不修。</w:t>
            </w:r>
          </w:p>
        </w:tc>
        <w:tc>
          <w:tcPr>
            <w:tcW w:w="1080" w:type="dxa"/>
            <w:vAlign w:val="center"/>
          </w:tcPr>
          <w:p w14:paraId="784D64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90" w:type="dxa"/>
            <w:vAlign w:val="center"/>
          </w:tcPr>
          <w:p w14:paraId="7337E29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85" w:type="dxa"/>
            <w:vAlign w:val="center"/>
          </w:tcPr>
          <w:p w14:paraId="5A617B9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7E76888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6D43E0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651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3206811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935" w:type="dxa"/>
            <w:vAlign w:val="center"/>
          </w:tcPr>
          <w:p w14:paraId="511454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双门磁力锁</w:t>
            </w:r>
          </w:p>
        </w:tc>
        <w:tc>
          <w:tcPr>
            <w:tcW w:w="3285" w:type="dxa"/>
            <w:vAlign w:val="center"/>
          </w:tcPr>
          <w:p w14:paraId="2BCACF1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1、标准型磁力锁是针对一般玻璃门、木门、防火门、推拉门、金属门设计的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2、最大静态直线拉力不小280kg(600Lbs)。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3、断电开锁，满足消防要求。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4、具有电锁状态指示灯（例如：红灯为开锁状态， 绿灯为上锁状态）。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5、工作电压：12V/420mA 或 24V/210mA。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6、适用于多种门型安装使用。</w:t>
            </w:r>
          </w:p>
        </w:tc>
        <w:tc>
          <w:tcPr>
            <w:tcW w:w="1080" w:type="dxa"/>
            <w:vAlign w:val="center"/>
          </w:tcPr>
          <w:p w14:paraId="5D33B87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890" w:type="dxa"/>
            <w:vAlign w:val="center"/>
          </w:tcPr>
          <w:p w14:paraId="54ED09B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5" w:type="dxa"/>
            <w:vAlign w:val="center"/>
          </w:tcPr>
          <w:p w14:paraId="26A00A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0EB7DB8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374652F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339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03" w:type="dxa"/>
            <w:vAlign w:val="center"/>
          </w:tcPr>
          <w:p w14:paraId="529B2CD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935" w:type="dxa"/>
            <w:vAlign w:val="center"/>
          </w:tcPr>
          <w:p w14:paraId="54F51E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双门磁力锁支架</w:t>
            </w:r>
          </w:p>
        </w:tc>
        <w:tc>
          <w:tcPr>
            <w:tcW w:w="3285" w:type="dxa"/>
            <w:vAlign w:val="center"/>
          </w:tcPr>
          <w:p w14:paraId="7CFC800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玻璃门U型门夹；铝合金材料；尺寸定制</w:t>
            </w:r>
          </w:p>
        </w:tc>
        <w:tc>
          <w:tcPr>
            <w:tcW w:w="1080" w:type="dxa"/>
            <w:vAlign w:val="center"/>
          </w:tcPr>
          <w:p w14:paraId="6DCEEB5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90" w:type="dxa"/>
            <w:vAlign w:val="center"/>
          </w:tcPr>
          <w:p w14:paraId="3938058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85" w:type="dxa"/>
            <w:vAlign w:val="center"/>
          </w:tcPr>
          <w:p w14:paraId="0DD7F14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38F04CF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1D0FB1D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D86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903" w:type="dxa"/>
            <w:vAlign w:val="center"/>
          </w:tcPr>
          <w:p w14:paraId="51EE34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935" w:type="dxa"/>
            <w:vAlign w:val="center"/>
          </w:tcPr>
          <w:p w14:paraId="183065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出门按钮</w:t>
            </w:r>
          </w:p>
        </w:tc>
        <w:tc>
          <w:tcPr>
            <w:tcW w:w="3285" w:type="dxa"/>
            <w:vAlign w:val="center"/>
          </w:tcPr>
          <w:p w14:paraId="39F6E9C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1、门禁开门按钮，作为出门开关使用。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2、结构：塑料面板。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3、性能：最大耐电流1.25A，电压250V。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4、输出：常开。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5、类型：适合埋入式电器盒使用。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6、尺寸：86*86mm。</w:t>
            </w:r>
          </w:p>
        </w:tc>
        <w:tc>
          <w:tcPr>
            <w:tcW w:w="1080" w:type="dxa"/>
            <w:vAlign w:val="center"/>
          </w:tcPr>
          <w:p w14:paraId="3E6D95C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90" w:type="dxa"/>
            <w:vAlign w:val="center"/>
          </w:tcPr>
          <w:p w14:paraId="34C17FE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5" w:type="dxa"/>
            <w:vAlign w:val="center"/>
          </w:tcPr>
          <w:p w14:paraId="290DCB2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6F7C3E3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49785BE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358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903" w:type="dxa"/>
            <w:vAlign w:val="center"/>
          </w:tcPr>
          <w:p w14:paraId="6A61C4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935" w:type="dxa"/>
            <w:vAlign w:val="center"/>
          </w:tcPr>
          <w:p w14:paraId="1C5430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3285" w:type="dxa"/>
            <w:vAlign w:val="center"/>
          </w:tcPr>
          <w:p w14:paraId="1CDCA16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1、输入电压：100-240VAC。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2、输出电压：12VDC。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4、接口：开门按钮、输出(NO、NC、COM)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6、工作湿度：＜95%。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7、备注：质保2年；只换不修。</w:t>
            </w:r>
          </w:p>
        </w:tc>
        <w:tc>
          <w:tcPr>
            <w:tcW w:w="1080" w:type="dxa"/>
            <w:vAlign w:val="center"/>
          </w:tcPr>
          <w:p w14:paraId="2632C1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90" w:type="dxa"/>
            <w:vAlign w:val="center"/>
          </w:tcPr>
          <w:p w14:paraId="7C6CB17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5" w:type="dxa"/>
            <w:vAlign w:val="center"/>
          </w:tcPr>
          <w:p w14:paraId="5066960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1C8DB42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63A3D08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0DA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3" w:type="dxa"/>
            <w:vAlign w:val="center"/>
          </w:tcPr>
          <w:p w14:paraId="6CA63E9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35" w:type="dxa"/>
            <w:vAlign w:val="center"/>
          </w:tcPr>
          <w:p w14:paraId="679F9E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无线吸顶AP</w:t>
            </w:r>
          </w:p>
        </w:tc>
        <w:tc>
          <w:tcPr>
            <w:tcW w:w="3285" w:type="dxa"/>
            <w:vAlign w:val="center"/>
          </w:tcPr>
          <w:p w14:paraId="45CC2ED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1、标准POE供电/DC电源供电；300M、百兆端口。</w:t>
            </w:r>
          </w:p>
        </w:tc>
        <w:tc>
          <w:tcPr>
            <w:tcW w:w="1080" w:type="dxa"/>
            <w:vAlign w:val="center"/>
          </w:tcPr>
          <w:p w14:paraId="21D042C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90" w:type="dxa"/>
            <w:vAlign w:val="center"/>
          </w:tcPr>
          <w:p w14:paraId="13CA6ED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85" w:type="dxa"/>
            <w:vAlign w:val="center"/>
          </w:tcPr>
          <w:p w14:paraId="23578A3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419C5C1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2E2A4E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75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1761425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35" w:type="dxa"/>
            <w:vAlign w:val="center"/>
          </w:tcPr>
          <w:p w14:paraId="1F60378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单元门</w:t>
            </w:r>
          </w:p>
        </w:tc>
        <w:tc>
          <w:tcPr>
            <w:tcW w:w="3285" w:type="dxa"/>
            <w:vAlign w:val="center"/>
          </w:tcPr>
          <w:p w14:paraId="68C68E0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1、尺寸及样式：2650mm*2350mm*内扇宽双开1750mm，含门边塞缝处理等。样式、做法详见单元门设计图及图纸说明，满足招标人要求。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2、边框采用1.2mm钢板；门扇、固定门扇采用 8mm钢化玻璃。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3、人脸门禁主机安装在门上。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4、中间门边框宽度为100mm，厚度为50mm。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5、颜色招标人确定。</w:t>
            </w:r>
          </w:p>
        </w:tc>
        <w:tc>
          <w:tcPr>
            <w:tcW w:w="1080" w:type="dxa"/>
            <w:vAlign w:val="center"/>
          </w:tcPr>
          <w:p w14:paraId="6C6D532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890" w:type="dxa"/>
            <w:vAlign w:val="center"/>
          </w:tcPr>
          <w:p w14:paraId="0C8F151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43.59</w:t>
            </w:r>
          </w:p>
        </w:tc>
        <w:tc>
          <w:tcPr>
            <w:tcW w:w="1885" w:type="dxa"/>
            <w:vAlign w:val="center"/>
          </w:tcPr>
          <w:p w14:paraId="005E16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1E9670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2D3AA0E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21A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9B85D1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35" w:type="dxa"/>
            <w:vAlign w:val="center"/>
          </w:tcPr>
          <w:p w14:paraId="7D2C6DA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单元门拆除</w:t>
            </w:r>
          </w:p>
        </w:tc>
        <w:tc>
          <w:tcPr>
            <w:tcW w:w="3285" w:type="dxa"/>
            <w:vAlign w:val="center"/>
          </w:tcPr>
          <w:p w14:paraId="1B2478C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1、含门框墙修补、含闭门器配件等。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2、原单元门拆除后残值归投标人所有。</w:t>
            </w:r>
          </w:p>
        </w:tc>
        <w:tc>
          <w:tcPr>
            <w:tcW w:w="1080" w:type="dxa"/>
            <w:vAlign w:val="center"/>
          </w:tcPr>
          <w:p w14:paraId="35D8A32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樘</w:t>
            </w:r>
          </w:p>
        </w:tc>
        <w:tc>
          <w:tcPr>
            <w:tcW w:w="890" w:type="dxa"/>
            <w:vAlign w:val="center"/>
          </w:tcPr>
          <w:p w14:paraId="70D215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5" w:type="dxa"/>
            <w:vAlign w:val="center"/>
          </w:tcPr>
          <w:p w14:paraId="495EC2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5371B88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4D8BD8F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AC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3" w:type="dxa"/>
            <w:vAlign w:val="center"/>
          </w:tcPr>
          <w:p w14:paraId="066F76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35" w:type="dxa"/>
            <w:vAlign w:val="center"/>
          </w:tcPr>
          <w:p w14:paraId="34F2D9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下槛维修更换</w:t>
            </w:r>
          </w:p>
        </w:tc>
        <w:tc>
          <w:tcPr>
            <w:tcW w:w="3285" w:type="dxa"/>
            <w:vAlign w:val="center"/>
          </w:tcPr>
          <w:p w14:paraId="2702117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1、不锈钢下槛维修更换维修</w:t>
            </w:r>
          </w:p>
        </w:tc>
        <w:tc>
          <w:tcPr>
            <w:tcW w:w="1080" w:type="dxa"/>
            <w:vAlign w:val="center"/>
          </w:tcPr>
          <w:p w14:paraId="6CCFEA8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890" w:type="dxa"/>
            <w:vAlign w:val="center"/>
          </w:tcPr>
          <w:p w14:paraId="6303182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85" w:type="dxa"/>
            <w:vAlign w:val="center"/>
          </w:tcPr>
          <w:p w14:paraId="1EF7E4D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6C218E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347215C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166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vAlign w:val="center"/>
          </w:tcPr>
          <w:p w14:paraId="220485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35" w:type="dxa"/>
            <w:vAlign w:val="center"/>
          </w:tcPr>
          <w:p w14:paraId="3DBF1D3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宿舍楼楼顶通道门</w:t>
            </w:r>
          </w:p>
        </w:tc>
        <w:tc>
          <w:tcPr>
            <w:tcW w:w="3285" w:type="dxa"/>
            <w:vAlign w:val="center"/>
          </w:tcPr>
          <w:p w14:paraId="053C272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宿舍楼楼顶通道门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1、304不锈钢材质96cm*205cm，含门边塞缝处理等。样式、做法详见单元门设计图及图纸说明，满足招标人要求。</w:t>
            </w:r>
          </w:p>
        </w:tc>
        <w:tc>
          <w:tcPr>
            <w:tcW w:w="1080" w:type="dxa"/>
            <w:vAlign w:val="center"/>
          </w:tcPr>
          <w:p w14:paraId="7F833F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樘</w:t>
            </w:r>
          </w:p>
        </w:tc>
        <w:tc>
          <w:tcPr>
            <w:tcW w:w="890" w:type="dxa"/>
            <w:vAlign w:val="center"/>
          </w:tcPr>
          <w:p w14:paraId="6BAEE77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85" w:type="dxa"/>
            <w:vAlign w:val="center"/>
          </w:tcPr>
          <w:p w14:paraId="44DDE53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5FFD4CD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3CB1A2E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64E3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123" w:type="dxa"/>
            <w:gridSpan w:val="3"/>
            <w:vAlign w:val="center"/>
          </w:tcPr>
          <w:p w14:paraId="593F26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合计（元）</w:t>
            </w:r>
          </w:p>
        </w:tc>
        <w:tc>
          <w:tcPr>
            <w:tcW w:w="1080" w:type="dxa"/>
            <w:vAlign w:val="center"/>
          </w:tcPr>
          <w:p w14:paraId="3B9A57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90" w:type="dxa"/>
            <w:vAlign w:val="center"/>
          </w:tcPr>
          <w:p w14:paraId="6F4C3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85" w:type="dxa"/>
            <w:vAlign w:val="center"/>
          </w:tcPr>
          <w:p w14:paraId="2CA75CA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85" w:type="dxa"/>
            <w:vAlign w:val="center"/>
          </w:tcPr>
          <w:p w14:paraId="3BEC6DE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87" w:type="dxa"/>
            <w:vAlign w:val="center"/>
          </w:tcPr>
          <w:p w14:paraId="76E4DA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732A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950" w:type="dxa"/>
            <w:gridSpan w:val="8"/>
            <w:vAlign w:val="center"/>
          </w:tcPr>
          <w:p w14:paraId="0615875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备注：1、全费用综合单价含人工费、材料（设备）费、机械费、相应的措施费、管理费、利润、税金、风险等费用。税金税率9%。</w:t>
            </w:r>
          </w:p>
          <w:p w14:paraId="60415DC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2、电源线、网线、线管、开关盒、线盒等含在相应项目清单中，不另列清单。</w:t>
            </w:r>
          </w:p>
          <w:p w14:paraId="0417AA6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3、安全文明施工、脚手架等措施费含在相应项目清单中，不另列清单。</w:t>
            </w:r>
          </w:p>
        </w:tc>
      </w:tr>
    </w:tbl>
    <w:p w14:paraId="44A4927C">
      <w:pPr>
        <w:rPr>
          <w:rFonts w:hint="eastAsia" w:ascii="宋体" w:hAnsi="宋体" w:cs="宋体"/>
        </w:rPr>
      </w:pPr>
    </w:p>
    <w:p w14:paraId="05169805">
      <w:pPr>
        <w:rPr>
          <w:rFonts w:hint="eastAsia" w:ascii="宋体" w:hAnsi="宋体" w:cs="宋体"/>
        </w:rPr>
      </w:pPr>
    </w:p>
    <w:p w14:paraId="2F895E8D">
      <w:pPr>
        <w:rPr>
          <w:rFonts w:hint="eastAsia" w:ascii="宋体" w:hAnsi="宋体" w:cs="宋体"/>
        </w:rPr>
      </w:pPr>
    </w:p>
    <w:p w14:paraId="00DFCF2C">
      <w:pPr>
        <w:rPr>
          <w:rFonts w:hint="eastAsia" w:ascii="宋体" w:hAnsi="宋体" w:cs="宋体"/>
        </w:rPr>
      </w:pPr>
    </w:p>
    <w:p w14:paraId="05317600">
      <w:pPr>
        <w:ind w:firstLine="7770" w:firstLineChars="3700"/>
        <w:rPr>
          <w:rFonts w:ascii="宋体" w:hAnsi="宋体" w:cs="宋体"/>
        </w:rPr>
      </w:pPr>
      <w:r>
        <w:rPr>
          <w:rFonts w:hint="eastAsia" w:ascii="宋体" w:hAnsi="宋体" w:cs="宋体"/>
        </w:rPr>
        <w:t>投 标 人：</w:t>
      </w:r>
      <w:r>
        <w:rPr>
          <w:rFonts w:hint="eastAsia" w:ascii="宋体" w:hAnsi="宋体" w:cs="宋体"/>
          <w:u w:val="single"/>
        </w:rPr>
        <w:tab/>
      </w:r>
      <w:r>
        <w:rPr>
          <w:rFonts w:hint="eastAsia" w:ascii="宋体" w:hAnsi="宋体" w:cs="宋体"/>
          <w:u w:val="single"/>
          <w:lang w:val="en-US" w:eastAsia="zh-CN"/>
        </w:rPr>
        <w:t xml:space="preserve">                </w:t>
      </w:r>
      <w:r>
        <w:rPr>
          <w:rFonts w:hint="eastAsia" w:ascii="宋体" w:hAnsi="宋体" w:cs="宋体"/>
        </w:rPr>
        <w:t>（盖单位章）</w:t>
      </w:r>
    </w:p>
    <w:p w14:paraId="626D9042">
      <w:pPr>
        <w:pStyle w:val="8"/>
        <w:spacing w:before="12"/>
        <w:rPr>
          <w:rFonts w:ascii="宋体" w:hAnsi="宋体" w:cs="宋体"/>
        </w:rPr>
      </w:pPr>
    </w:p>
    <w:p w14:paraId="0652E03C">
      <w:pPr>
        <w:ind w:firstLine="7770" w:firstLineChars="3700"/>
        <w:rPr>
          <w:rFonts w:hint="eastAsia" w:ascii="宋体" w:hAnsi="宋体" w:cs="宋体"/>
        </w:rPr>
      </w:pPr>
      <w:r>
        <w:rPr>
          <w:rFonts w:hint="eastAsia" w:ascii="宋体" w:hAnsi="宋体" w:cs="宋体"/>
        </w:rPr>
        <w:t>法定代表人或其委托代理人：</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（签字或盖章）</w:t>
      </w:r>
    </w:p>
    <w:p w14:paraId="1A994B9C">
      <w:pPr>
        <w:ind w:firstLine="7770" w:firstLineChars="3700"/>
        <w:rPr>
          <w:rFonts w:hint="eastAsia" w:ascii="宋体" w:hAnsi="宋体" w:cs="宋体"/>
        </w:rPr>
      </w:pPr>
    </w:p>
    <w:p w14:paraId="3BDA6680">
      <w:pPr>
        <w:ind w:firstLine="7770" w:firstLineChars="3700"/>
        <w:rPr>
          <w:rFonts w:hint="eastAsia" w:ascii="宋体" w:hAnsi="宋体" w:cs="宋体"/>
          <w:lang w:eastAsia="zh-CN"/>
        </w:rPr>
      </w:pPr>
      <w:r>
        <w:rPr>
          <w:rFonts w:hint="eastAsia" w:ascii="宋体" w:hAnsi="宋体" w:cs="宋体"/>
          <w:lang w:eastAsia="zh-CN"/>
        </w:rPr>
        <w:t>日期：</w:t>
      </w:r>
      <w:r>
        <w:rPr>
          <w:rFonts w:hint="eastAsia" w:ascii="宋体" w:hAnsi="宋体" w:cs="宋体"/>
          <w:lang w:val="en-US" w:eastAsia="zh-CN"/>
        </w:rPr>
        <w:t xml:space="preserve">  </w:t>
      </w:r>
      <w:r>
        <w:rPr>
          <w:rFonts w:hint="eastAsia" w:ascii="宋体" w:hAnsi="宋体" w:cs="宋体"/>
          <w:lang w:eastAsia="zh-CN"/>
        </w:rPr>
        <w:t>年</w:t>
      </w:r>
      <w:r>
        <w:rPr>
          <w:rFonts w:hint="eastAsia" w:ascii="宋体" w:hAnsi="宋体" w:cs="宋体"/>
          <w:lang w:val="en-US" w:eastAsia="zh-CN"/>
        </w:rPr>
        <w:t xml:space="preserve">   </w:t>
      </w:r>
      <w:r>
        <w:rPr>
          <w:rFonts w:hint="eastAsia" w:ascii="宋体" w:hAnsi="宋体" w:cs="宋体"/>
          <w:lang w:eastAsia="zh-CN"/>
        </w:rPr>
        <w:t>月</w:t>
      </w:r>
      <w:r>
        <w:rPr>
          <w:rFonts w:hint="eastAsia" w:ascii="宋体" w:hAnsi="宋体" w:cs="宋体"/>
          <w:lang w:val="en-US" w:eastAsia="zh-CN"/>
        </w:rPr>
        <w:t xml:space="preserve">    </w:t>
      </w:r>
      <w:r>
        <w:rPr>
          <w:rFonts w:hint="eastAsia" w:ascii="宋体" w:hAnsi="宋体" w:cs="宋体"/>
          <w:lang w:eastAsia="zh-CN"/>
        </w:rPr>
        <w:t>日</w:t>
      </w:r>
    </w:p>
    <w:p w14:paraId="5B0CF084">
      <w:pPr>
        <w:ind w:firstLine="7770" w:firstLineChars="3700"/>
        <w:rPr>
          <w:rFonts w:hint="default" w:ascii="宋体" w:hAnsi="宋体" w:cs="宋体"/>
          <w:lang w:val="en-US" w:eastAsia="zh-CN"/>
        </w:rPr>
        <w:sectPr>
          <w:pgSz w:w="15840" w:h="12240" w:orient="landscape"/>
          <w:pgMar w:top="1417" w:right="1553" w:bottom="1417" w:left="1553" w:header="0" w:footer="862" w:gutter="0"/>
          <w:pgNumType w:fmt="decimal"/>
          <w:cols w:space="0" w:num="1"/>
        </w:sectPr>
      </w:pPr>
    </w:p>
    <w:p w14:paraId="402D7A13">
      <w:pPr>
        <w:spacing w:line="360" w:lineRule="auto"/>
        <w:jc w:val="center"/>
        <w:rPr>
          <w:rFonts w:hint="eastAsia" w:hAnsi="宋体" w:cs="宋体"/>
          <w:b/>
          <w:bCs/>
          <w:sz w:val="28"/>
          <w:szCs w:val="28"/>
          <w:lang w:val="en-US" w:eastAsia="zh-CN"/>
        </w:rPr>
      </w:pPr>
      <w:r>
        <w:rPr>
          <w:rFonts w:hint="eastAsia" w:hAnsi="宋体" w:cs="宋体"/>
          <w:b/>
          <w:bCs/>
          <w:sz w:val="28"/>
          <w:szCs w:val="28"/>
          <w:lang w:val="en-US" w:eastAsia="zh-CN"/>
        </w:rPr>
        <w:t>主要材料招标人推荐品牌一览表</w:t>
      </w:r>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893"/>
        <w:gridCol w:w="4476"/>
        <w:gridCol w:w="1861"/>
      </w:tblGrid>
      <w:tr w14:paraId="100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716" w:type="dxa"/>
            <w:noWrap w:val="0"/>
            <w:vAlign w:val="center"/>
          </w:tcPr>
          <w:p w14:paraId="7FA01F15">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004" w:type="dxa"/>
            <w:noWrap w:val="0"/>
            <w:vAlign w:val="center"/>
          </w:tcPr>
          <w:p w14:paraId="2A52CFE8">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设备（材料）名称</w:t>
            </w:r>
          </w:p>
        </w:tc>
        <w:tc>
          <w:tcPr>
            <w:tcW w:w="4770" w:type="dxa"/>
            <w:noWrap w:val="0"/>
            <w:vAlign w:val="center"/>
          </w:tcPr>
          <w:p w14:paraId="4D6F9AF0">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推荐品牌</w:t>
            </w:r>
          </w:p>
        </w:tc>
        <w:tc>
          <w:tcPr>
            <w:tcW w:w="1988" w:type="dxa"/>
            <w:noWrap w:val="0"/>
            <w:vAlign w:val="center"/>
          </w:tcPr>
          <w:p w14:paraId="69EDE72A">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05BC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16" w:type="dxa"/>
            <w:noWrap w:val="0"/>
            <w:vAlign w:val="center"/>
          </w:tcPr>
          <w:p w14:paraId="7E95DD4E">
            <w:pPr>
              <w:pStyle w:val="26"/>
              <w:ind w:left="0" w:leftChars="0" w:firstLine="0" w:firstLineChars="0"/>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04" w:type="dxa"/>
            <w:noWrap w:val="0"/>
            <w:vAlign w:val="center"/>
          </w:tcPr>
          <w:p w14:paraId="259FB202">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门禁、磁力锁</w:t>
            </w:r>
          </w:p>
        </w:tc>
        <w:tc>
          <w:tcPr>
            <w:tcW w:w="4770" w:type="dxa"/>
            <w:noWrap w:val="0"/>
            <w:vAlign w:val="center"/>
          </w:tcPr>
          <w:p w14:paraId="47721FDD">
            <w:pPr>
              <w:pStyle w:val="26"/>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深圳辉沃普（HWP）、广东深创智能(SC)、深圳东南创通(DNCT)</w:t>
            </w:r>
          </w:p>
        </w:tc>
        <w:tc>
          <w:tcPr>
            <w:tcW w:w="1988" w:type="dxa"/>
            <w:noWrap w:val="0"/>
            <w:vAlign w:val="center"/>
          </w:tcPr>
          <w:p w14:paraId="471A4294">
            <w:pPr>
              <w:pStyle w:val="26"/>
              <w:ind w:left="0" w:leftChars="0" w:firstLine="0" w:firstLineChars="0"/>
              <w:jc w:val="center"/>
              <w:rPr>
                <w:rFonts w:hint="eastAsia" w:ascii="宋体" w:hAnsi="宋体" w:eastAsia="宋体" w:cs="宋体"/>
                <w:sz w:val="21"/>
                <w:szCs w:val="21"/>
                <w:vertAlign w:val="baseline"/>
                <w:lang w:val="en-US" w:eastAsia="zh-CN"/>
              </w:rPr>
            </w:pPr>
          </w:p>
        </w:tc>
      </w:tr>
    </w:tbl>
    <w:p w14:paraId="326FEB78">
      <w:pPr>
        <w:spacing w:line="360" w:lineRule="auto"/>
        <w:rPr>
          <w:rFonts w:hint="eastAsia" w:ascii="宋体" w:hAnsi="宋体" w:cs="宋体"/>
          <w:b w:val="0"/>
          <w:bCs w:val="0"/>
          <w:sz w:val="21"/>
          <w:szCs w:val="21"/>
        </w:rPr>
      </w:pPr>
    </w:p>
    <w:p w14:paraId="23161B37">
      <w:pPr>
        <w:spacing w:line="360" w:lineRule="auto"/>
        <w:rPr>
          <w:rFonts w:hint="eastAsia" w:ascii="宋体" w:hAnsi="宋体" w:cs="宋体"/>
          <w:b w:val="0"/>
          <w:bCs w:val="0"/>
          <w:sz w:val="21"/>
          <w:szCs w:val="21"/>
        </w:rPr>
      </w:pPr>
      <w:r>
        <w:rPr>
          <w:rFonts w:hint="eastAsia" w:ascii="宋体" w:hAnsi="宋体" w:cs="宋体"/>
          <w:b w:val="0"/>
          <w:bCs w:val="0"/>
          <w:sz w:val="21"/>
          <w:szCs w:val="21"/>
        </w:rPr>
        <w:t>注：1、本项目招标人推荐品牌的设备或材料,投标时无需具体选择品牌投标，但投标人中标后须在招标人推荐品牌范围内选择品牌进行采购(不论招标人推荐品牌的产品是否存在价差，中标人均须无条件按照招标人推荐的品牌进行采购，结算时产品价格不予调整)，产品合格证须随货提供,对质量、安全、外观等有要求的材料须根据招标人要求提供样品，经招标人书面同意后方可进行采购。如招标人推荐品牌的产品无法采购或无法达到相关要求，中标人须向招标人说明原因并提出书面申请，经招标人书面同意后按招标人意见调整。如招标人书面同意使用推荐品牌范围外的产品,则所更换品牌的产品的性能、质量须相当于或高于招标人推荐品牌，结算时产品价格不予调整。未经招标人书面同意，自行采购所发生的损失均由中标人自行承担。</w:t>
      </w:r>
    </w:p>
    <w:p w14:paraId="5D2D9600">
      <w:pPr>
        <w:spacing w:line="360" w:lineRule="auto"/>
        <w:rPr>
          <w:rFonts w:hint="eastAsia" w:ascii="宋体" w:hAnsi="宋体" w:cs="宋体"/>
          <w:b/>
          <w:bCs/>
          <w:sz w:val="32"/>
          <w:szCs w:val="32"/>
        </w:rPr>
      </w:pPr>
      <w:r>
        <w:rPr>
          <w:rFonts w:hint="eastAsia" w:ascii="宋体" w:hAnsi="宋体" w:cs="宋体"/>
          <w:b w:val="0"/>
          <w:bCs w:val="0"/>
          <w:sz w:val="21"/>
          <w:szCs w:val="21"/>
        </w:rPr>
        <w:t>2、如招标人未推荐品牌的设备及材料，须选用目前市场上知名、优等、主流品牌，经招标人书面确认后方可实施，如招标人认为承包人选用的品牌不能达到要求或不能满足提供的技术标准的,招标人有权更换品牌，涉及的设备、材料价格不予调整。</w:t>
      </w:r>
    </w:p>
    <w:p w14:paraId="73E087C3">
      <w:pPr>
        <w:spacing w:line="360" w:lineRule="auto"/>
        <w:rPr>
          <w:rFonts w:hint="eastAsia" w:ascii="宋体" w:hAnsi="宋体" w:cs="宋体"/>
          <w:b/>
          <w:bCs/>
          <w:sz w:val="32"/>
          <w:szCs w:val="32"/>
        </w:rPr>
      </w:pPr>
    </w:p>
    <w:p w14:paraId="2E8AADA1">
      <w:pPr>
        <w:spacing w:line="360" w:lineRule="auto"/>
        <w:rPr>
          <w:rFonts w:hint="eastAsia" w:ascii="宋体" w:hAnsi="宋体" w:cs="宋体"/>
          <w:b/>
          <w:bCs/>
          <w:sz w:val="32"/>
          <w:szCs w:val="32"/>
        </w:rPr>
      </w:pPr>
    </w:p>
    <w:p w14:paraId="7825AA10">
      <w:pPr>
        <w:spacing w:line="360" w:lineRule="auto"/>
        <w:rPr>
          <w:rFonts w:hint="eastAsia" w:ascii="宋体" w:hAnsi="宋体" w:cs="宋体"/>
          <w:b/>
          <w:bCs/>
          <w:sz w:val="32"/>
          <w:szCs w:val="32"/>
        </w:rPr>
      </w:pPr>
    </w:p>
    <w:p w14:paraId="1A0F7495">
      <w:pPr>
        <w:spacing w:line="360" w:lineRule="auto"/>
        <w:rPr>
          <w:rFonts w:hint="eastAsia" w:ascii="宋体" w:hAnsi="宋体" w:cs="宋体"/>
          <w:b/>
          <w:bCs/>
          <w:sz w:val="32"/>
          <w:szCs w:val="32"/>
        </w:rPr>
      </w:pPr>
    </w:p>
    <w:p w14:paraId="6A4B0E38">
      <w:pPr>
        <w:spacing w:line="360" w:lineRule="auto"/>
        <w:rPr>
          <w:rFonts w:hint="eastAsia" w:ascii="宋体" w:hAnsi="宋体" w:cs="宋体"/>
          <w:b/>
          <w:bCs/>
          <w:sz w:val="32"/>
          <w:szCs w:val="32"/>
        </w:rPr>
      </w:pPr>
    </w:p>
    <w:p w14:paraId="4E3DE439">
      <w:pPr>
        <w:spacing w:line="360" w:lineRule="auto"/>
        <w:rPr>
          <w:rFonts w:hint="eastAsia" w:ascii="宋体" w:hAnsi="宋体" w:cs="宋体"/>
          <w:b/>
          <w:bCs/>
          <w:sz w:val="32"/>
          <w:szCs w:val="32"/>
        </w:rPr>
      </w:pPr>
    </w:p>
    <w:p w14:paraId="785D964D">
      <w:pPr>
        <w:spacing w:line="360" w:lineRule="auto"/>
        <w:rPr>
          <w:rFonts w:hint="eastAsia" w:ascii="宋体" w:hAnsi="宋体" w:cs="宋体"/>
          <w:b/>
          <w:bCs/>
          <w:sz w:val="32"/>
          <w:szCs w:val="32"/>
        </w:rPr>
      </w:pPr>
    </w:p>
    <w:p w14:paraId="3527BEAC">
      <w:pPr>
        <w:spacing w:line="360" w:lineRule="auto"/>
        <w:rPr>
          <w:rFonts w:hint="eastAsia" w:ascii="宋体" w:hAnsi="宋体" w:cs="宋体"/>
          <w:b/>
          <w:bCs/>
          <w:sz w:val="32"/>
          <w:szCs w:val="32"/>
        </w:rPr>
      </w:pPr>
    </w:p>
    <w:p w14:paraId="573A956F">
      <w:pPr>
        <w:spacing w:line="360" w:lineRule="auto"/>
        <w:rPr>
          <w:rFonts w:hint="eastAsia" w:ascii="宋体" w:hAnsi="宋体" w:cs="宋体"/>
          <w:b/>
          <w:bCs/>
          <w:sz w:val="32"/>
          <w:szCs w:val="32"/>
        </w:rPr>
      </w:pPr>
    </w:p>
    <w:p w14:paraId="46B95D4E">
      <w:pPr>
        <w:spacing w:line="360" w:lineRule="auto"/>
        <w:rPr>
          <w:rFonts w:ascii="宋体" w:hAnsi="宋体" w:cs="宋体"/>
          <w:b/>
          <w:bCs/>
          <w:sz w:val="32"/>
          <w:szCs w:val="32"/>
        </w:rPr>
      </w:pPr>
      <w:r>
        <w:rPr>
          <w:rFonts w:hint="eastAsia" w:ascii="宋体" w:hAnsi="宋体" w:cs="宋体"/>
          <w:b/>
          <w:bCs/>
          <w:sz w:val="32"/>
          <w:szCs w:val="32"/>
        </w:rPr>
        <w:t>（三）投标保证金缴纳证明材料；</w:t>
      </w:r>
    </w:p>
    <w:p w14:paraId="39B170D0">
      <w:pPr>
        <w:spacing w:line="360" w:lineRule="auto"/>
        <w:rPr>
          <w:rFonts w:ascii="宋体" w:hAnsi="宋体" w:cs="宋体"/>
          <w:b/>
          <w:bCs/>
          <w:sz w:val="32"/>
          <w:szCs w:val="32"/>
        </w:rPr>
      </w:pPr>
      <w:r>
        <w:rPr>
          <w:rFonts w:hint="eastAsia" w:ascii="宋体" w:hAnsi="宋体" w:cs="宋体"/>
          <w:b/>
          <w:bCs/>
          <w:sz w:val="32"/>
          <w:szCs w:val="32"/>
        </w:rPr>
        <w:t>（四）联合体协议书（如有）；</w:t>
      </w:r>
    </w:p>
    <w:p w14:paraId="24C97FCB">
      <w:pPr>
        <w:spacing w:line="360" w:lineRule="auto"/>
        <w:rPr>
          <w:rFonts w:ascii="宋体" w:hAnsi="宋体" w:cs="宋体"/>
          <w:b/>
          <w:bCs/>
          <w:sz w:val="32"/>
          <w:szCs w:val="32"/>
        </w:rPr>
      </w:pPr>
    </w:p>
    <w:p w14:paraId="41A90B9C">
      <w:pPr>
        <w:spacing w:line="360" w:lineRule="auto"/>
        <w:rPr>
          <w:rFonts w:ascii="宋体" w:hAnsi="宋体" w:cs="宋体"/>
          <w:b/>
          <w:bCs/>
          <w:sz w:val="32"/>
          <w:szCs w:val="32"/>
        </w:rPr>
      </w:pPr>
    </w:p>
    <w:p w14:paraId="6FA481BB">
      <w:pPr>
        <w:spacing w:line="360" w:lineRule="auto"/>
        <w:rPr>
          <w:rFonts w:ascii="宋体" w:hAnsi="宋体" w:cs="宋体"/>
          <w:b/>
          <w:bCs/>
          <w:sz w:val="32"/>
          <w:szCs w:val="32"/>
        </w:rPr>
      </w:pPr>
    </w:p>
    <w:p w14:paraId="53290AF5">
      <w:pPr>
        <w:spacing w:line="360" w:lineRule="auto"/>
        <w:rPr>
          <w:rFonts w:ascii="宋体" w:hAnsi="宋体" w:cs="宋体"/>
          <w:b/>
          <w:bCs/>
          <w:sz w:val="32"/>
          <w:szCs w:val="32"/>
        </w:rPr>
      </w:pPr>
    </w:p>
    <w:p w14:paraId="64C27401">
      <w:pPr>
        <w:spacing w:line="360" w:lineRule="auto"/>
        <w:rPr>
          <w:rFonts w:ascii="宋体" w:hAnsi="宋体" w:cs="宋体"/>
          <w:b/>
          <w:bCs/>
          <w:sz w:val="32"/>
          <w:szCs w:val="32"/>
        </w:rPr>
      </w:pPr>
    </w:p>
    <w:p w14:paraId="76FFC080">
      <w:pPr>
        <w:spacing w:line="360" w:lineRule="auto"/>
        <w:rPr>
          <w:rFonts w:ascii="宋体" w:hAnsi="宋体" w:cs="宋体"/>
          <w:b/>
          <w:bCs/>
          <w:sz w:val="32"/>
          <w:szCs w:val="32"/>
        </w:rPr>
      </w:pPr>
    </w:p>
    <w:p w14:paraId="4CB948D3">
      <w:pPr>
        <w:spacing w:line="360" w:lineRule="auto"/>
        <w:rPr>
          <w:rFonts w:ascii="宋体" w:hAnsi="宋体" w:cs="宋体"/>
          <w:b/>
          <w:bCs/>
          <w:sz w:val="32"/>
          <w:szCs w:val="32"/>
        </w:rPr>
      </w:pPr>
    </w:p>
    <w:p w14:paraId="401B3BD2">
      <w:pPr>
        <w:spacing w:line="360" w:lineRule="auto"/>
        <w:rPr>
          <w:rFonts w:ascii="宋体" w:hAnsi="宋体" w:cs="宋体"/>
          <w:b/>
          <w:bCs/>
          <w:sz w:val="32"/>
          <w:szCs w:val="32"/>
        </w:rPr>
      </w:pPr>
    </w:p>
    <w:p w14:paraId="3ACDE90F">
      <w:pPr>
        <w:spacing w:line="360" w:lineRule="auto"/>
        <w:rPr>
          <w:rFonts w:ascii="宋体" w:hAnsi="宋体" w:cs="宋体"/>
          <w:b/>
          <w:bCs/>
          <w:sz w:val="32"/>
          <w:szCs w:val="32"/>
        </w:rPr>
      </w:pPr>
    </w:p>
    <w:p w14:paraId="04F81E35">
      <w:pPr>
        <w:spacing w:line="360" w:lineRule="auto"/>
        <w:rPr>
          <w:rFonts w:ascii="宋体" w:hAnsi="宋体" w:cs="宋体"/>
          <w:b/>
          <w:bCs/>
          <w:sz w:val="32"/>
          <w:szCs w:val="32"/>
        </w:rPr>
      </w:pPr>
    </w:p>
    <w:p w14:paraId="160659B3">
      <w:pPr>
        <w:spacing w:line="360" w:lineRule="auto"/>
        <w:rPr>
          <w:rFonts w:ascii="宋体" w:hAnsi="宋体" w:cs="宋体"/>
          <w:b/>
          <w:bCs/>
          <w:sz w:val="32"/>
          <w:szCs w:val="32"/>
        </w:rPr>
      </w:pPr>
    </w:p>
    <w:p w14:paraId="0C941B96">
      <w:pPr>
        <w:spacing w:line="360" w:lineRule="auto"/>
        <w:rPr>
          <w:rFonts w:ascii="宋体" w:hAnsi="宋体" w:cs="宋体"/>
          <w:b/>
          <w:bCs/>
          <w:sz w:val="32"/>
          <w:szCs w:val="32"/>
        </w:rPr>
      </w:pPr>
    </w:p>
    <w:p w14:paraId="28934338">
      <w:pPr>
        <w:spacing w:line="360" w:lineRule="auto"/>
        <w:rPr>
          <w:rFonts w:ascii="宋体" w:hAnsi="宋体" w:cs="宋体"/>
          <w:b/>
          <w:bCs/>
          <w:sz w:val="32"/>
          <w:szCs w:val="32"/>
        </w:rPr>
      </w:pPr>
    </w:p>
    <w:p w14:paraId="3611D3C0">
      <w:pPr>
        <w:spacing w:line="360" w:lineRule="auto"/>
        <w:rPr>
          <w:rFonts w:ascii="宋体" w:hAnsi="宋体" w:cs="宋体"/>
          <w:b/>
          <w:bCs/>
          <w:sz w:val="32"/>
          <w:szCs w:val="32"/>
        </w:rPr>
      </w:pPr>
    </w:p>
    <w:p w14:paraId="4B009E49">
      <w:pPr>
        <w:spacing w:line="360" w:lineRule="auto"/>
        <w:rPr>
          <w:rFonts w:ascii="宋体" w:hAnsi="宋体" w:cs="宋体"/>
          <w:b/>
          <w:bCs/>
          <w:sz w:val="32"/>
          <w:szCs w:val="32"/>
        </w:rPr>
      </w:pPr>
    </w:p>
    <w:p w14:paraId="0D1E868F">
      <w:pPr>
        <w:spacing w:line="360" w:lineRule="auto"/>
        <w:rPr>
          <w:rFonts w:ascii="宋体" w:hAnsi="宋体" w:cs="宋体"/>
          <w:b/>
          <w:bCs/>
          <w:sz w:val="32"/>
          <w:szCs w:val="32"/>
        </w:rPr>
      </w:pPr>
    </w:p>
    <w:p w14:paraId="1AA8A00A">
      <w:pPr>
        <w:spacing w:line="360" w:lineRule="auto"/>
        <w:rPr>
          <w:rFonts w:ascii="宋体" w:hAnsi="宋体" w:cs="宋体"/>
          <w:b/>
          <w:bCs/>
          <w:sz w:val="32"/>
          <w:szCs w:val="32"/>
        </w:rPr>
      </w:pPr>
    </w:p>
    <w:p w14:paraId="054239FF">
      <w:pPr>
        <w:spacing w:line="360" w:lineRule="auto"/>
        <w:rPr>
          <w:rFonts w:ascii="宋体" w:hAnsi="宋体" w:cs="宋体"/>
          <w:b/>
          <w:bCs/>
          <w:sz w:val="32"/>
          <w:szCs w:val="32"/>
        </w:rPr>
      </w:pPr>
    </w:p>
    <w:p w14:paraId="647F8A69">
      <w:pPr>
        <w:rPr>
          <w:rFonts w:ascii="宋体" w:hAnsi="宋体" w:cs="宋体"/>
          <w:b/>
          <w:bCs/>
          <w:sz w:val="32"/>
          <w:szCs w:val="32"/>
        </w:rPr>
      </w:pPr>
      <w:r>
        <w:rPr>
          <w:rFonts w:hint="eastAsia" w:ascii="宋体" w:hAnsi="宋体" w:cs="宋体"/>
          <w:b/>
          <w:bCs/>
          <w:sz w:val="32"/>
          <w:szCs w:val="32"/>
        </w:rPr>
        <w:br w:type="page"/>
      </w:r>
    </w:p>
    <w:p w14:paraId="539D26AD">
      <w:pPr>
        <w:spacing w:line="360" w:lineRule="auto"/>
        <w:jc w:val="center"/>
        <w:rPr>
          <w:rFonts w:ascii="宋体" w:hAnsi="宋体" w:cs="宋体"/>
          <w:b/>
          <w:bCs/>
          <w:sz w:val="32"/>
          <w:szCs w:val="32"/>
        </w:rPr>
      </w:pPr>
      <w:r>
        <w:rPr>
          <w:rFonts w:hint="eastAsia" w:ascii="宋体" w:hAnsi="宋体" w:cs="宋体"/>
          <w:b/>
          <w:bCs/>
          <w:sz w:val="32"/>
          <w:szCs w:val="32"/>
        </w:rPr>
        <w:t>（五）法定代表人身份证明书</w:t>
      </w:r>
    </w:p>
    <w:p w14:paraId="340EB439">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p>
    <w:p w14:paraId="3596A3E5">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p>
    <w:p w14:paraId="48B0DC12">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p>
    <w:p w14:paraId="4834E58A">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p>
    <w:p w14:paraId="02D52F7F">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p>
    <w:p w14:paraId="586F0BA8">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                 性 别：</w:t>
      </w:r>
    </w:p>
    <w:p w14:paraId="74E0098F">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龄：                 职 务：</w:t>
      </w:r>
    </w:p>
    <w:p w14:paraId="6F2770C5">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（投标人名称  )    </w:t>
      </w:r>
      <w:r>
        <w:rPr>
          <w:rFonts w:hint="eastAsia" w:asciiTheme="minorEastAsia" w:hAnsiTheme="minorEastAsia" w:eastAsiaTheme="minorEastAsia" w:cstheme="minorEastAsia"/>
          <w:sz w:val="24"/>
        </w:rPr>
        <w:t>的法定代表人。</w:t>
      </w:r>
    </w:p>
    <w:p w14:paraId="023A7D74">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7984AFBC">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p>
    <w:p w14:paraId="2CB4896C">
      <w:pPr>
        <w:shd w:val="clear" w:color="auto" w:fill="FFFFFF"/>
        <w:snapToGrid w:val="0"/>
        <w:spacing w:before="100" w:beforeAutospacing="1" w:after="100" w:afterAutospacing="1"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投标人：（盖单位章）</w:t>
      </w:r>
    </w:p>
    <w:p w14:paraId="211E1BBD">
      <w:pPr>
        <w:shd w:val="clear" w:color="auto" w:fill="FFFFFF"/>
        <w:snapToGrid w:val="0"/>
        <w:spacing w:before="100" w:beforeAutospacing="1" w:after="100" w:afterAutospacing="1" w:line="500" w:lineRule="exact"/>
        <w:ind w:firstLine="720" w:firstLineChars="300"/>
        <w:sectPr>
          <w:pgSz w:w="11906" w:h="16838"/>
          <w:pgMar w:top="1417" w:right="1553" w:bottom="1417" w:left="1553" w:header="0" w:footer="862" w:gutter="0"/>
          <w:pgNumType w:fmt="decimal"/>
          <w:cols w:space="0" w:num="1"/>
        </w:sectPr>
      </w:pPr>
      <w:r>
        <w:rPr>
          <w:rFonts w:hint="eastAsia" w:asciiTheme="minorEastAsia" w:hAnsiTheme="minorEastAsia" w:eastAsiaTheme="minorEastAsia" w:cstheme="minorEastAsia"/>
          <w:sz w:val="24"/>
        </w:rPr>
        <w:t>年    月    日</w:t>
      </w:r>
    </w:p>
    <w:p w14:paraId="1FFCA26D">
      <w:pPr>
        <w:numPr>
          <w:ilvl w:val="0"/>
          <w:numId w:val="5"/>
        </w:numPr>
        <w:spacing w:line="360" w:lineRule="auto"/>
        <w:jc w:val="center"/>
        <w:rPr>
          <w:rFonts w:ascii="宋体" w:hAnsi="宋体" w:cs="宋体"/>
          <w:b/>
          <w:bCs/>
          <w:sz w:val="32"/>
          <w:szCs w:val="32"/>
        </w:rPr>
      </w:pPr>
      <w:r>
        <w:rPr>
          <w:rFonts w:hint="eastAsia" w:ascii="宋体" w:hAnsi="宋体" w:cs="宋体"/>
          <w:b/>
          <w:bCs/>
          <w:sz w:val="32"/>
          <w:szCs w:val="32"/>
        </w:rPr>
        <w:t>授权委托书（如有）</w:t>
      </w:r>
    </w:p>
    <w:p w14:paraId="3672CD11">
      <w:pPr>
        <w:pStyle w:val="8"/>
        <w:tabs>
          <w:tab w:val="left" w:pos="2421"/>
          <w:tab w:val="left" w:pos="5585"/>
        </w:tabs>
        <w:spacing w:line="440" w:lineRule="exact"/>
        <w:ind w:firstLine="420" w:firstLineChars="200"/>
      </w:pPr>
      <w:r>
        <w:rPr>
          <w:rFonts w:hint="eastAsia"/>
        </w:rPr>
        <w:t>本人</w:t>
      </w:r>
      <w:r>
        <w:rPr>
          <w:rFonts w:hint="eastAsia"/>
          <w:u w:val="single"/>
        </w:rPr>
        <w:tab/>
      </w:r>
      <w:r>
        <w:rPr>
          <w:rFonts w:hint="eastAsia"/>
        </w:rPr>
        <w:t>（姓名）系</w:t>
      </w:r>
      <w:r>
        <w:rPr>
          <w:rFonts w:hint="eastAsia"/>
          <w:u w:val="single"/>
        </w:rPr>
        <w:tab/>
      </w:r>
      <w:r>
        <w:rPr>
          <w:rFonts w:hint="eastAsia"/>
        </w:rPr>
        <w:t>（投标人名称）的法定代表人，现</w:t>
      </w:r>
    </w:p>
    <w:p w14:paraId="42D5FD68">
      <w:pPr>
        <w:pStyle w:val="8"/>
        <w:tabs>
          <w:tab w:val="left" w:pos="1789"/>
        </w:tabs>
        <w:spacing w:line="440" w:lineRule="exact"/>
        <w:rPr>
          <w:spacing w:val="-2"/>
        </w:rPr>
      </w:pPr>
      <w:r>
        <w:rPr>
          <w:rFonts w:hint="eastAsia"/>
        </w:rPr>
        <w:t>委托</w:t>
      </w:r>
      <w:r>
        <w:rPr>
          <w:rFonts w:hint="eastAsia"/>
          <w:u w:val="single"/>
        </w:rPr>
        <w:tab/>
      </w:r>
      <w:r>
        <w:rPr>
          <w:rFonts w:hint="eastAsia"/>
        </w:rPr>
        <w:t>（姓名）为我方代理人。代理人根据授权，以我方名义签署、澄清确认、说明、补正、递</w:t>
      </w:r>
      <w:r>
        <w:rPr>
          <w:rFonts w:hint="eastAsia"/>
          <w:spacing w:val="-2"/>
        </w:rPr>
        <w:t>交、撤回、修改设计招标项目投标文件、签订合同</w:t>
      </w:r>
      <w:r>
        <w:rPr>
          <w:rFonts w:hint="eastAsia"/>
        </w:rPr>
        <w:t>、处理投诉（异议）和</w:t>
      </w:r>
      <w:r>
        <w:rPr>
          <w:rFonts w:hint="eastAsia"/>
          <w:spacing w:val="-2"/>
        </w:rPr>
        <w:t xml:space="preserve">处理有关事宜，其法律后果由我方承担。 </w:t>
      </w:r>
    </w:p>
    <w:p w14:paraId="65D10FD4">
      <w:pPr>
        <w:pStyle w:val="8"/>
        <w:tabs>
          <w:tab w:val="left" w:pos="1789"/>
        </w:tabs>
        <w:spacing w:line="440" w:lineRule="exact"/>
        <w:ind w:firstLine="420" w:firstLineChars="200"/>
      </w:pPr>
      <w:r>
        <w:rPr>
          <w:rFonts w:hint="eastAsia"/>
        </w:rPr>
        <w:t>委托期限：</w:t>
      </w:r>
      <w:r>
        <w:rPr>
          <w:rFonts w:hint="eastAsia"/>
          <w:u w:val="single"/>
        </w:rPr>
        <w:tab/>
      </w:r>
      <w:r>
        <w:rPr>
          <w:rFonts w:hint="eastAsia"/>
          <w:u w:val="single"/>
          <w:lang w:val="en-US" w:eastAsia="zh-CN"/>
        </w:rPr>
        <w:t xml:space="preserve">   </w:t>
      </w:r>
      <w:r>
        <w:rPr>
          <w:rFonts w:hint="eastAsia"/>
        </w:rPr>
        <w:t>。</w:t>
      </w:r>
    </w:p>
    <w:p w14:paraId="6705ABF7">
      <w:pPr>
        <w:pStyle w:val="8"/>
        <w:tabs>
          <w:tab w:val="left" w:pos="1789"/>
        </w:tabs>
        <w:spacing w:before="36"/>
        <w:ind w:left="100"/>
      </w:pPr>
    </w:p>
    <w:p w14:paraId="149AAF0C">
      <w:pPr>
        <w:pStyle w:val="8"/>
        <w:spacing w:before="36"/>
        <w:ind w:right="108" w:firstLine="420" w:firstLineChars="200"/>
      </w:pPr>
      <w:r>
        <w:rPr>
          <w:rFonts w:hint="eastAsia"/>
        </w:rPr>
        <w:t>代理人无转委托权。</w:t>
      </w:r>
    </w:p>
    <w:p w14:paraId="0712C738">
      <w:pPr>
        <w:pStyle w:val="8"/>
        <w:spacing w:before="36"/>
        <w:ind w:right="108" w:firstLine="420" w:firstLineChars="200"/>
      </w:pPr>
    </w:p>
    <w:p w14:paraId="495A2FF7">
      <w:pPr>
        <w:pStyle w:val="8"/>
        <w:spacing w:before="4"/>
        <w:rPr>
          <w:sz w:val="26"/>
        </w:rPr>
      </w:pPr>
    </w:p>
    <w:p w14:paraId="03A034A1">
      <w:pPr>
        <w:pStyle w:val="8"/>
        <w:ind w:left="100" w:right="108"/>
      </w:pPr>
      <w:r>
        <w:rPr>
          <w:rFonts w:hint="eastAsia"/>
        </w:rPr>
        <w:t>附：法定代表人身份证复印件及委托代理人身份证复印件</w:t>
      </w:r>
    </w:p>
    <w:p w14:paraId="336D1DCD">
      <w:pPr>
        <w:pStyle w:val="8"/>
        <w:rPr>
          <w:sz w:val="20"/>
        </w:rPr>
      </w:pPr>
    </w:p>
    <w:p w14:paraId="1710449A">
      <w:pPr>
        <w:pStyle w:val="8"/>
        <w:spacing w:before="1"/>
        <w:rPr>
          <w:sz w:val="26"/>
        </w:rPr>
      </w:pPr>
    </w:p>
    <w:p w14:paraId="4B524779">
      <w:pPr>
        <w:pStyle w:val="8"/>
        <w:ind w:left="100" w:right="108"/>
      </w:pPr>
      <w:r>
        <w:rPr>
          <w:rFonts w:hint="eastAsia"/>
        </w:rPr>
        <w:t>注：本授权委托书需由投标人加盖单位公章并由其法定代表人签字或盖章。</w:t>
      </w:r>
    </w:p>
    <w:p w14:paraId="688F0387">
      <w:pPr>
        <w:pStyle w:val="8"/>
        <w:rPr>
          <w:sz w:val="20"/>
        </w:rPr>
      </w:pPr>
    </w:p>
    <w:p w14:paraId="3B55C9F7">
      <w:pPr>
        <w:pStyle w:val="8"/>
        <w:spacing w:before="4"/>
        <w:rPr>
          <w:sz w:val="26"/>
        </w:rPr>
      </w:pPr>
    </w:p>
    <w:p w14:paraId="0F9227B5">
      <w:pPr>
        <w:pStyle w:val="8"/>
        <w:tabs>
          <w:tab w:val="left" w:pos="3216"/>
          <w:tab w:val="left" w:pos="3636"/>
          <w:tab w:val="left" w:pos="7241"/>
        </w:tabs>
        <w:ind w:left="2793" w:right="108"/>
      </w:pPr>
      <w:r>
        <w:rPr>
          <w:rFonts w:hint="eastAsia"/>
        </w:rPr>
        <w:t>投</w:t>
      </w:r>
      <w:r>
        <w:rPr>
          <w:rFonts w:hint="eastAsia"/>
        </w:rPr>
        <w:tab/>
      </w:r>
      <w:r>
        <w:rPr>
          <w:rFonts w:hint="eastAsia"/>
        </w:rPr>
        <w:t>标</w:t>
      </w:r>
      <w:r>
        <w:rPr>
          <w:rFonts w:hint="eastAsia"/>
        </w:rPr>
        <w:tab/>
      </w:r>
      <w:r>
        <w:rPr>
          <w:rFonts w:hint="eastAsia"/>
          <w:spacing w:val="-3"/>
        </w:rPr>
        <w:t>人：</w:t>
      </w:r>
      <w:r>
        <w:rPr>
          <w:rFonts w:hint="eastAsia"/>
          <w:spacing w:val="-3"/>
          <w:u w:val="single"/>
        </w:rPr>
        <w:tab/>
      </w:r>
      <w:r>
        <w:rPr>
          <w:rFonts w:hint="eastAsia"/>
        </w:rPr>
        <w:t>（盖单位章）</w:t>
      </w:r>
    </w:p>
    <w:p w14:paraId="454F70B4">
      <w:pPr>
        <w:pStyle w:val="8"/>
        <w:rPr>
          <w:sz w:val="20"/>
        </w:rPr>
      </w:pPr>
    </w:p>
    <w:p w14:paraId="55D80026">
      <w:pPr>
        <w:pStyle w:val="8"/>
        <w:spacing w:before="7"/>
        <w:rPr>
          <w:sz w:val="23"/>
        </w:rPr>
      </w:pPr>
    </w:p>
    <w:p w14:paraId="6AE76A73">
      <w:pPr>
        <w:pStyle w:val="8"/>
        <w:tabs>
          <w:tab w:val="left" w:pos="6401"/>
        </w:tabs>
        <w:spacing w:before="36"/>
        <w:ind w:left="2791" w:right="108"/>
      </w:pPr>
      <w:r>
        <w:rPr>
          <w:rFonts w:hint="eastAsia"/>
        </w:rPr>
        <w:t>法定代表人：</w:t>
      </w:r>
      <w:r>
        <w:rPr>
          <w:rFonts w:hint="eastAsia"/>
          <w:u w:val="single"/>
        </w:rPr>
        <w:tab/>
      </w:r>
      <w:r>
        <w:rPr>
          <w:rFonts w:hint="eastAsia"/>
        </w:rPr>
        <w:t>（签字或盖章）</w:t>
      </w:r>
    </w:p>
    <w:p w14:paraId="0ADBB3A2">
      <w:pPr>
        <w:pStyle w:val="8"/>
        <w:rPr>
          <w:sz w:val="20"/>
        </w:rPr>
      </w:pPr>
    </w:p>
    <w:p w14:paraId="429DAB8A">
      <w:pPr>
        <w:pStyle w:val="8"/>
        <w:spacing w:before="4"/>
        <w:rPr>
          <w:sz w:val="23"/>
        </w:rPr>
      </w:pPr>
    </w:p>
    <w:p w14:paraId="7E33BB6C">
      <w:pPr>
        <w:pStyle w:val="8"/>
        <w:tabs>
          <w:tab w:val="left" w:pos="8549"/>
        </w:tabs>
        <w:spacing w:before="37"/>
        <w:ind w:left="2793" w:right="108"/>
      </w:pPr>
      <w:r>
        <w:rPr>
          <w:rFonts w:hint="eastAsia"/>
        </w:rPr>
        <w:t>身份证号码：</w:t>
      </w:r>
      <w:r>
        <w:rPr>
          <w:rFonts w:hint="eastAsia"/>
          <w:u w:val="single"/>
        </w:rPr>
        <w:tab/>
      </w:r>
    </w:p>
    <w:p w14:paraId="0FD7DC53">
      <w:pPr>
        <w:pStyle w:val="8"/>
        <w:rPr>
          <w:sz w:val="20"/>
        </w:rPr>
      </w:pPr>
    </w:p>
    <w:p w14:paraId="5255BDEA">
      <w:pPr>
        <w:pStyle w:val="8"/>
        <w:spacing w:before="6"/>
        <w:rPr>
          <w:sz w:val="29"/>
        </w:rPr>
      </w:pPr>
    </w:p>
    <w:p w14:paraId="78DDD5E6">
      <w:pPr>
        <w:pStyle w:val="8"/>
        <w:tabs>
          <w:tab w:val="left" w:pos="7661"/>
        </w:tabs>
        <w:spacing w:before="36"/>
        <w:ind w:left="2793" w:right="108"/>
      </w:pPr>
      <w:r>
        <w:rPr>
          <w:rFonts w:hint="eastAsia"/>
        </w:rPr>
        <w:t>委托代理人：</w:t>
      </w:r>
      <w:r>
        <w:rPr>
          <w:rFonts w:hint="eastAsia"/>
          <w:u w:val="single"/>
        </w:rPr>
        <w:tab/>
      </w:r>
    </w:p>
    <w:p w14:paraId="2142CDAE">
      <w:pPr>
        <w:pStyle w:val="8"/>
        <w:rPr>
          <w:sz w:val="20"/>
        </w:rPr>
      </w:pPr>
    </w:p>
    <w:p w14:paraId="35DAF3B0">
      <w:pPr>
        <w:pStyle w:val="8"/>
        <w:spacing w:before="7"/>
        <w:rPr>
          <w:sz w:val="23"/>
        </w:rPr>
      </w:pPr>
    </w:p>
    <w:p w14:paraId="5340E303">
      <w:pPr>
        <w:pStyle w:val="8"/>
        <w:tabs>
          <w:tab w:val="left" w:pos="8549"/>
        </w:tabs>
        <w:spacing w:before="37"/>
        <w:ind w:left="2793" w:right="108"/>
      </w:pPr>
      <w:r>
        <w:rPr>
          <w:rFonts w:hint="eastAsia"/>
        </w:rPr>
        <w:t>身份证号码：</w:t>
      </w:r>
      <w:r>
        <w:rPr>
          <w:rFonts w:hint="eastAsia"/>
          <w:u w:val="single"/>
        </w:rPr>
        <w:tab/>
      </w:r>
    </w:p>
    <w:p w14:paraId="4A2043E1">
      <w:pPr>
        <w:pStyle w:val="8"/>
        <w:rPr>
          <w:sz w:val="20"/>
        </w:rPr>
      </w:pPr>
    </w:p>
    <w:p w14:paraId="4AA0E188">
      <w:pPr>
        <w:pStyle w:val="8"/>
        <w:rPr>
          <w:sz w:val="20"/>
        </w:rPr>
      </w:pPr>
    </w:p>
    <w:p w14:paraId="77AEE6E5">
      <w:pPr>
        <w:pStyle w:val="8"/>
        <w:rPr>
          <w:sz w:val="20"/>
        </w:rPr>
      </w:pPr>
    </w:p>
    <w:p w14:paraId="631452AA">
      <w:pPr>
        <w:pStyle w:val="8"/>
        <w:spacing w:before="8"/>
        <w:rPr>
          <w:sz w:val="27"/>
        </w:rPr>
      </w:pPr>
    </w:p>
    <w:p w14:paraId="779B1C0C">
      <w:pPr>
        <w:pStyle w:val="8"/>
        <w:tabs>
          <w:tab w:val="left" w:pos="736"/>
          <w:tab w:val="left" w:pos="1682"/>
          <w:tab w:val="left" w:pos="2626"/>
        </w:tabs>
        <w:spacing w:before="36"/>
        <w:ind w:right="113"/>
        <w:jc w:val="right"/>
      </w:pPr>
      <w:r>
        <w:rPr>
          <w:rFonts w:hint="eastAsia"/>
          <w:u w:val="single"/>
        </w:rPr>
        <w:tab/>
      </w:r>
      <w:r>
        <w:rPr>
          <w:rFonts w:hint="eastAsia"/>
        </w:rPr>
        <w:t>年</w:t>
      </w:r>
      <w:r>
        <w:rPr>
          <w:rFonts w:hint="eastAsia"/>
          <w:u w:val="single"/>
        </w:rPr>
        <w:tab/>
      </w:r>
      <w:r>
        <w:rPr>
          <w:rFonts w:hint="eastAsia"/>
          <w:spacing w:val="-3"/>
        </w:rPr>
        <w:t>月</w:t>
      </w:r>
      <w:r>
        <w:rPr>
          <w:rFonts w:hint="eastAsia"/>
          <w:spacing w:val="-3"/>
          <w:u w:val="single"/>
        </w:rPr>
        <w:tab/>
      </w:r>
      <w:r>
        <w:rPr>
          <w:rFonts w:hint="eastAsia"/>
        </w:rPr>
        <w:t>日</w:t>
      </w:r>
    </w:p>
    <w:p w14:paraId="1550D3E3">
      <w:pPr>
        <w:jc w:val="right"/>
        <w:sectPr>
          <w:pgSz w:w="11906" w:h="16838"/>
          <w:pgMar w:top="1417" w:right="1553" w:bottom="1417" w:left="1553" w:header="0" w:footer="862" w:gutter="0"/>
          <w:pgNumType w:fmt="decimal"/>
          <w:cols w:space="0" w:num="1"/>
        </w:sectPr>
      </w:pPr>
    </w:p>
    <w:p w14:paraId="0F742885">
      <w:pPr>
        <w:spacing w:line="360" w:lineRule="auto"/>
        <w:rPr>
          <w:rFonts w:ascii="宋体" w:hAnsi="宋体" w:cs="宋体"/>
          <w:b/>
          <w:bCs/>
          <w:sz w:val="32"/>
          <w:szCs w:val="32"/>
          <w:lang w:val="zh-CN"/>
        </w:rPr>
      </w:pPr>
      <w:r>
        <w:rPr>
          <w:rFonts w:hint="eastAsia" w:ascii="宋体" w:hAnsi="宋体" w:cs="宋体"/>
          <w:b/>
          <w:bCs/>
          <w:sz w:val="32"/>
          <w:szCs w:val="32"/>
        </w:rPr>
        <w:t>（七）</w:t>
      </w:r>
      <w:r>
        <w:rPr>
          <w:rFonts w:hint="eastAsia" w:ascii="宋体" w:hAnsi="宋体" w:cs="宋体"/>
          <w:b/>
          <w:bCs/>
          <w:sz w:val="32"/>
          <w:szCs w:val="32"/>
          <w:lang w:val="zh-CN"/>
        </w:rPr>
        <w:t>企业营业执照；</w:t>
      </w:r>
    </w:p>
    <w:p w14:paraId="59103570">
      <w:pPr>
        <w:spacing w:line="360" w:lineRule="auto"/>
        <w:rPr>
          <w:rFonts w:ascii="宋体" w:hAnsi="宋体" w:cs="宋体"/>
          <w:b/>
          <w:bCs/>
          <w:sz w:val="32"/>
          <w:szCs w:val="32"/>
        </w:rPr>
      </w:pPr>
      <w:r>
        <w:rPr>
          <w:rFonts w:hint="eastAsia" w:ascii="宋体" w:hAnsi="宋体" w:cs="宋体"/>
          <w:b/>
          <w:bCs/>
          <w:sz w:val="32"/>
          <w:szCs w:val="32"/>
          <w:lang w:val="zh-CN"/>
        </w:rPr>
        <w:t>（八）企业资质证书（如有）</w:t>
      </w:r>
      <w:r>
        <w:rPr>
          <w:rFonts w:hint="eastAsia" w:ascii="宋体" w:hAnsi="宋体" w:cs="宋体"/>
          <w:b/>
          <w:bCs/>
          <w:sz w:val="32"/>
          <w:szCs w:val="32"/>
        </w:rPr>
        <w:t>；</w:t>
      </w:r>
    </w:p>
    <w:p w14:paraId="75B23FD0">
      <w:pPr>
        <w:spacing w:line="360" w:lineRule="auto"/>
        <w:rPr>
          <w:rFonts w:ascii="宋体" w:hAnsi="宋体" w:cs="宋体"/>
          <w:b/>
          <w:bCs/>
          <w:sz w:val="32"/>
          <w:szCs w:val="32"/>
          <w:lang w:val="zh-CN"/>
        </w:rPr>
      </w:pPr>
      <w:r>
        <w:rPr>
          <w:rFonts w:hint="eastAsia" w:ascii="宋体" w:hAnsi="宋体" w:cs="宋体"/>
          <w:b/>
          <w:bCs/>
          <w:sz w:val="32"/>
          <w:szCs w:val="32"/>
        </w:rPr>
        <w:t>（九）资格审查资料和计分要求的业绩材料</w:t>
      </w:r>
      <w:r>
        <w:rPr>
          <w:rFonts w:hint="eastAsia" w:ascii="宋体" w:hAnsi="宋体" w:cs="宋体"/>
          <w:b/>
          <w:bCs/>
          <w:sz w:val="32"/>
          <w:szCs w:val="32"/>
          <w:lang w:val="zh-CN"/>
        </w:rPr>
        <w:t>；</w:t>
      </w:r>
    </w:p>
    <w:p w14:paraId="2F9914B3">
      <w:pPr>
        <w:spacing w:line="360" w:lineRule="auto"/>
      </w:pPr>
      <w:r>
        <w:rPr>
          <w:rFonts w:hint="eastAsia" w:ascii="宋体" w:hAnsi="宋体" w:cs="宋体"/>
          <w:b/>
          <w:bCs/>
          <w:sz w:val="32"/>
          <w:szCs w:val="32"/>
        </w:rPr>
        <w:t>（十）</w:t>
      </w:r>
      <w:r>
        <w:rPr>
          <w:rFonts w:hint="eastAsia" w:ascii="宋体" w:hAnsi="宋体" w:cs="宋体"/>
          <w:b/>
          <w:bCs/>
          <w:sz w:val="32"/>
          <w:szCs w:val="32"/>
          <w:lang w:val="zh-CN"/>
        </w:rPr>
        <w:t xml:space="preserve">根据招标文件评标办法要求以及投标人认为需要提供的其他资料。 </w:t>
      </w:r>
      <w:bookmarkEnd w:id="2"/>
      <w:bookmarkStart w:id="11" w:name="_bookmark210"/>
      <w:bookmarkEnd w:id="11"/>
      <w:bookmarkStart w:id="12" w:name="_bookmark200"/>
      <w:bookmarkEnd w:id="12"/>
    </w:p>
    <w:sectPr>
      <w:headerReference r:id="rId8" w:type="first"/>
      <w:footerReference r:id="rId11" w:type="first"/>
      <w:headerReference r:id="rId6" w:type="default"/>
      <w:footerReference r:id="rId9" w:type="default"/>
      <w:headerReference r:id="rId7" w:type="even"/>
      <w:footerReference r:id="rId10" w:type="even"/>
      <w:pgSz w:w="11906" w:h="16838"/>
      <w:pgMar w:top="1417" w:right="1553" w:bottom="1440" w:left="155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19E5">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3CF5EE">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83CF5EE">
                    <w:pPr>
                      <w:pStyle w:val="1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D72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4C2DDD7">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qQdOYBAADHAwAADgAAAGRycy9lMm9Eb2MueG1srVPNjtMwEL4j8Q6W&#10;7zTZo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zqkHTmAQAAxwMA&#10;AA4AAAAAAAAAAQAgAAAAHgEAAGRycy9lMm9Eb2MueG1sUEsFBgAAAAAGAAYAWQEAAHYFAAAAAA==&#10;">
              <v:fill on="f" focussize="0,0"/>
              <v:stroke on="f"/>
              <v:imagedata o:title=""/>
              <o:lock v:ext="edit" aspectratio="f"/>
              <v:textbox inset="0mm,0mm,0mm,0mm" style="mso-fit-shape-to-text:t;">
                <w:txbxContent>
                  <w:p w14:paraId="24C2DDD7">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BC389">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74AC56F">
                          <w:pPr>
                            <w:pStyle w:val="18"/>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LUucBAADHAwAADgAAAGRycy9lMm9Eb2MueG1srVPBjtMwEL0j8Q+W&#10;7zTZaBe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6ctS5wEAAMcD&#10;AAAOAAAAAAAAAAEAIAAAAB4BAABkcnMvZTJvRG9jLnhtbFBLBQYAAAAABgAGAFkBAAB3BQAAAAA=&#10;">
              <v:fill on="f" focussize="0,0"/>
              <v:stroke on="f"/>
              <v:imagedata o:title=""/>
              <o:lock v:ext="edit" aspectratio="f"/>
              <v:textbox inset="0mm,0mm,0mm,0mm" style="mso-fit-shape-to-text:t;">
                <w:txbxContent>
                  <w:p w14:paraId="674AC56F">
                    <w:pPr>
                      <w:pStyle w:val="1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2FFF">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14DE76">
                          <w:pPr>
                            <w:pStyle w:val="18"/>
                          </w:pPr>
                          <w:r>
                            <w:fldChar w:fldCharType="begin"/>
                          </w:r>
                          <w:r>
                            <w:instrText xml:space="preserve"> PAGE  \* MERGEFORMAT </w:instrText>
                          </w:r>
                          <w:r>
                            <w:fldChar w:fldCharType="separate"/>
                          </w:r>
                          <w:r>
                            <w:t>45</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u2EecBAADHAwAADgAAAGRycy9lMm9Eb2MueG1srVNLbtswEN0X6B0I&#10;7mspLly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fUuJ5QYHfvr96/Tn3+nv&#10;T7JI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mq7YR5wEAAMcD&#10;AAAOAAAAAAAAAAEAIAAAAB4BAABkcnMvZTJvRG9jLnhtbFBLBQYAAAAABgAGAFkBAAB3BQAAAAA=&#10;">
              <v:fill on="f" focussize="0,0"/>
              <v:stroke on="f"/>
              <v:imagedata o:title=""/>
              <o:lock v:ext="edit" aspectratio="f"/>
              <v:textbox inset="0mm,0mm,0mm,0mm" style="mso-fit-shape-to-text:t;">
                <w:txbxContent>
                  <w:p w14:paraId="0814DE76">
                    <w:pPr>
                      <w:pStyle w:val="1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AAE6">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XV</w:t>
    </w:r>
    <w:r>
      <w:fldChar w:fldCharType="end"/>
    </w:r>
  </w:p>
  <w:p w14:paraId="3638E21C">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9C3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D835">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4C5E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7C23">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4E96C"/>
    <w:multiLevelType w:val="singleLevel"/>
    <w:tmpl w:val="D4B4E96C"/>
    <w:lvl w:ilvl="0" w:tentative="0">
      <w:start w:val="1"/>
      <w:numFmt w:val="decimal"/>
      <w:suff w:val="nothing"/>
      <w:lvlText w:val="%1、"/>
      <w:lvlJc w:val="left"/>
    </w:lvl>
  </w:abstractNum>
  <w:abstractNum w:abstractNumId="1">
    <w:nsid w:val="399441DC"/>
    <w:multiLevelType w:val="singleLevel"/>
    <w:tmpl w:val="399441DC"/>
    <w:lvl w:ilvl="0" w:tentative="0">
      <w:start w:val="4"/>
      <w:numFmt w:val="decimal"/>
      <w:suff w:val="space"/>
      <w:lvlText w:val="%1."/>
      <w:lvlJc w:val="left"/>
    </w:lvl>
  </w:abstractNum>
  <w:abstractNum w:abstractNumId="2">
    <w:nsid w:val="5790E083"/>
    <w:multiLevelType w:val="singleLevel"/>
    <w:tmpl w:val="5790E083"/>
    <w:lvl w:ilvl="0" w:tentative="0">
      <w:start w:val="6"/>
      <w:numFmt w:val="chineseCounting"/>
      <w:suff w:val="space"/>
      <w:lvlText w:val="第%1章"/>
      <w:lvlJc w:val="left"/>
      <w:rPr>
        <w:rFonts w:hint="eastAsia"/>
      </w:rPr>
    </w:lvl>
  </w:abstractNum>
  <w:abstractNum w:abstractNumId="3">
    <w:nsid w:val="593D4E5A"/>
    <w:multiLevelType w:val="singleLevel"/>
    <w:tmpl w:val="593D4E5A"/>
    <w:lvl w:ilvl="0" w:tentative="0">
      <w:start w:val="6"/>
      <w:numFmt w:val="chineseCounting"/>
      <w:suff w:val="nothing"/>
      <w:lvlText w:val="（%1）"/>
      <w:lvlJc w:val="left"/>
      <w:rPr>
        <w:rFonts w:hint="eastAsia"/>
      </w:rPr>
    </w:lvl>
  </w:abstractNum>
  <w:abstractNum w:abstractNumId="4">
    <w:nsid w:val="6C3AD628"/>
    <w:multiLevelType w:val="singleLevel"/>
    <w:tmpl w:val="6C3AD628"/>
    <w:lvl w:ilvl="0" w:tentative="0">
      <w:start w:val="9"/>
      <w:numFmt w:val="decimal"/>
      <w:suff w:val="space"/>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WE3NWZjNWQ3NzIxMzA5NzI2MWI2MzU2ZDdmNWIifQ=="/>
  </w:docVars>
  <w:rsids>
    <w:rsidRoot w:val="003476F2"/>
    <w:rsid w:val="0006342B"/>
    <w:rsid w:val="00087B15"/>
    <w:rsid w:val="000A2CDF"/>
    <w:rsid w:val="000B4752"/>
    <w:rsid w:val="000F5645"/>
    <w:rsid w:val="00146426"/>
    <w:rsid w:val="00156010"/>
    <w:rsid w:val="001E7E5F"/>
    <w:rsid w:val="002620EB"/>
    <w:rsid w:val="0029243E"/>
    <w:rsid w:val="002D4153"/>
    <w:rsid w:val="003476F2"/>
    <w:rsid w:val="00355085"/>
    <w:rsid w:val="00395349"/>
    <w:rsid w:val="003A676A"/>
    <w:rsid w:val="003B7694"/>
    <w:rsid w:val="00425C5A"/>
    <w:rsid w:val="004651AC"/>
    <w:rsid w:val="00476807"/>
    <w:rsid w:val="004C65B4"/>
    <w:rsid w:val="004E2CBB"/>
    <w:rsid w:val="005220BA"/>
    <w:rsid w:val="0054127C"/>
    <w:rsid w:val="00546625"/>
    <w:rsid w:val="005923FA"/>
    <w:rsid w:val="00616F30"/>
    <w:rsid w:val="00646DC2"/>
    <w:rsid w:val="0065797D"/>
    <w:rsid w:val="00732074"/>
    <w:rsid w:val="007D6E67"/>
    <w:rsid w:val="00863AF8"/>
    <w:rsid w:val="008842C5"/>
    <w:rsid w:val="008B347A"/>
    <w:rsid w:val="008F4E3C"/>
    <w:rsid w:val="0090086F"/>
    <w:rsid w:val="00906F3E"/>
    <w:rsid w:val="009B2412"/>
    <w:rsid w:val="009F5C50"/>
    <w:rsid w:val="00A3799E"/>
    <w:rsid w:val="00AC30CA"/>
    <w:rsid w:val="00AE29A3"/>
    <w:rsid w:val="00B1229D"/>
    <w:rsid w:val="00B82EE2"/>
    <w:rsid w:val="00B91673"/>
    <w:rsid w:val="00BE1D60"/>
    <w:rsid w:val="00C14210"/>
    <w:rsid w:val="00C4460E"/>
    <w:rsid w:val="00C56398"/>
    <w:rsid w:val="00C720C1"/>
    <w:rsid w:val="00C72EB7"/>
    <w:rsid w:val="00C8113A"/>
    <w:rsid w:val="00C844FF"/>
    <w:rsid w:val="00CF67DF"/>
    <w:rsid w:val="00D03A86"/>
    <w:rsid w:val="00D15F84"/>
    <w:rsid w:val="00D56D92"/>
    <w:rsid w:val="00D9369D"/>
    <w:rsid w:val="00E206F2"/>
    <w:rsid w:val="00E94162"/>
    <w:rsid w:val="00EA359C"/>
    <w:rsid w:val="00EF26FE"/>
    <w:rsid w:val="00F00F67"/>
    <w:rsid w:val="00F01994"/>
    <w:rsid w:val="00F270AA"/>
    <w:rsid w:val="00F45451"/>
    <w:rsid w:val="00F55B91"/>
    <w:rsid w:val="01177A27"/>
    <w:rsid w:val="013C3C4C"/>
    <w:rsid w:val="0145653F"/>
    <w:rsid w:val="016F088D"/>
    <w:rsid w:val="018B11E7"/>
    <w:rsid w:val="01D65AC4"/>
    <w:rsid w:val="01D71D9A"/>
    <w:rsid w:val="02221E08"/>
    <w:rsid w:val="02721E6A"/>
    <w:rsid w:val="027234EE"/>
    <w:rsid w:val="02897931"/>
    <w:rsid w:val="02A4039F"/>
    <w:rsid w:val="02AF383B"/>
    <w:rsid w:val="02BB4F8D"/>
    <w:rsid w:val="02E828A9"/>
    <w:rsid w:val="031A0857"/>
    <w:rsid w:val="034C108A"/>
    <w:rsid w:val="03551160"/>
    <w:rsid w:val="03A47DD6"/>
    <w:rsid w:val="040B094E"/>
    <w:rsid w:val="042F4508"/>
    <w:rsid w:val="04A859A7"/>
    <w:rsid w:val="052935BE"/>
    <w:rsid w:val="052A2A0D"/>
    <w:rsid w:val="053D1A99"/>
    <w:rsid w:val="0551134E"/>
    <w:rsid w:val="05685F23"/>
    <w:rsid w:val="05737CC1"/>
    <w:rsid w:val="0577271C"/>
    <w:rsid w:val="05966648"/>
    <w:rsid w:val="05BE6E1A"/>
    <w:rsid w:val="05C101EB"/>
    <w:rsid w:val="05C82C12"/>
    <w:rsid w:val="060074E5"/>
    <w:rsid w:val="061B33AB"/>
    <w:rsid w:val="061F6226"/>
    <w:rsid w:val="06507DD6"/>
    <w:rsid w:val="06581AF4"/>
    <w:rsid w:val="06C4362D"/>
    <w:rsid w:val="06C54CB0"/>
    <w:rsid w:val="07025650"/>
    <w:rsid w:val="07407CF4"/>
    <w:rsid w:val="07AA3132"/>
    <w:rsid w:val="07E71106"/>
    <w:rsid w:val="07FC0BA5"/>
    <w:rsid w:val="08124C25"/>
    <w:rsid w:val="083019A6"/>
    <w:rsid w:val="0835041B"/>
    <w:rsid w:val="08514A4D"/>
    <w:rsid w:val="08695F38"/>
    <w:rsid w:val="08ED64C0"/>
    <w:rsid w:val="090C4E18"/>
    <w:rsid w:val="09290BEC"/>
    <w:rsid w:val="095664BF"/>
    <w:rsid w:val="09971E12"/>
    <w:rsid w:val="09AB741D"/>
    <w:rsid w:val="09BE6112"/>
    <w:rsid w:val="0A2F5262"/>
    <w:rsid w:val="0A3C329E"/>
    <w:rsid w:val="0A417CFB"/>
    <w:rsid w:val="0A5F6988"/>
    <w:rsid w:val="0A6749FB"/>
    <w:rsid w:val="0A887D00"/>
    <w:rsid w:val="0A8B5410"/>
    <w:rsid w:val="0A8C23FF"/>
    <w:rsid w:val="0AA80259"/>
    <w:rsid w:val="0AB156FE"/>
    <w:rsid w:val="0B091406"/>
    <w:rsid w:val="0B3444EF"/>
    <w:rsid w:val="0B370FF6"/>
    <w:rsid w:val="0B495EAF"/>
    <w:rsid w:val="0B8D31EC"/>
    <w:rsid w:val="0BAD5C75"/>
    <w:rsid w:val="0C1313AE"/>
    <w:rsid w:val="0C2801BA"/>
    <w:rsid w:val="0C3C6F1D"/>
    <w:rsid w:val="0C455CF7"/>
    <w:rsid w:val="0C45737D"/>
    <w:rsid w:val="0C5942E9"/>
    <w:rsid w:val="0C693EEC"/>
    <w:rsid w:val="0C6E02C3"/>
    <w:rsid w:val="0C981954"/>
    <w:rsid w:val="0CAB25AA"/>
    <w:rsid w:val="0CCA615D"/>
    <w:rsid w:val="0CDB6FDB"/>
    <w:rsid w:val="0CF42AA4"/>
    <w:rsid w:val="0D315801"/>
    <w:rsid w:val="0D325094"/>
    <w:rsid w:val="0D5E31E7"/>
    <w:rsid w:val="0D6F43AB"/>
    <w:rsid w:val="0D8C4BF5"/>
    <w:rsid w:val="0D9E1418"/>
    <w:rsid w:val="0DD768AC"/>
    <w:rsid w:val="0DFC18FF"/>
    <w:rsid w:val="0E2D3511"/>
    <w:rsid w:val="0E4203A3"/>
    <w:rsid w:val="0E4C0ED2"/>
    <w:rsid w:val="0E70139A"/>
    <w:rsid w:val="0E8C7382"/>
    <w:rsid w:val="0E8D2E19"/>
    <w:rsid w:val="0E961216"/>
    <w:rsid w:val="0EB73A8F"/>
    <w:rsid w:val="0F4D73DE"/>
    <w:rsid w:val="0F535A6B"/>
    <w:rsid w:val="0F5F460A"/>
    <w:rsid w:val="0F694F51"/>
    <w:rsid w:val="0F9653C4"/>
    <w:rsid w:val="0FFA7EB0"/>
    <w:rsid w:val="10616BA3"/>
    <w:rsid w:val="10AE42B7"/>
    <w:rsid w:val="10E71418"/>
    <w:rsid w:val="11186A50"/>
    <w:rsid w:val="114063D0"/>
    <w:rsid w:val="11C32ECE"/>
    <w:rsid w:val="11E66D10"/>
    <w:rsid w:val="11EC068E"/>
    <w:rsid w:val="127803B9"/>
    <w:rsid w:val="12E526E7"/>
    <w:rsid w:val="130D3C66"/>
    <w:rsid w:val="133614BA"/>
    <w:rsid w:val="1422232A"/>
    <w:rsid w:val="1437543F"/>
    <w:rsid w:val="143E4894"/>
    <w:rsid w:val="14D67C5C"/>
    <w:rsid w:val="15267743"/>
    <w:rsid w:val="153636E4"/>
    <w:rsid w:val="15451DDD"/>
    <w:rsid w:val="15514B27"/>
    <w:rsid w:val="15631831"/>
    <w:rsid w:val="15691286"/>
    <w:rsid w:val="156E6E68"/>
    <w:rsid w:val="15EA64E1"/>
    <w:rsid w:val="16130355"/>
    <w:rsid w:val="161767F2"/>
    <w:rsid w:val="164D0F49"/>
    <w:rsid w:val="164E081E"/>
    <w:rsid w:val="165A1751"/>
    <w:rsid w:val="165A6254"/>
    <w:rsid w:val="16705516"/>
    <w:rsid w:val="16EF2DA4"/>
    <w:rsid w:val="171C04F2"/>
    <w:rsid w:val="174F1860"/>
    <w:rsid w:val="17680005"/>
    <w:rsid w:val="17683B61"/>
    <w:rsid w:val="177B217F"/>
    <w:rsid w:val="17864593"/>
    <w:rsid w:val="17944956"/>
    <w:rsid w:val="17996080"/>
    <w:rsid w:val="17EF415E"/>
    <w:rsid w:val="182C65AF"/>
    <w:rsid w:val="183879D7"/>
    <w:rsid w:val="1845358F"/>
    <w:rsid w:val="18C65094"/>
    <w:rsid w:val="18FB68AA"/>
    <w:rsid w:val="19192EF0"/>
    <w:rsid w:val="195645B9"/>
    <w:rsid w:val="198527A8"/>
    <w:rsid w:val="199A1CAC"/>
    <w:rsid w:val="19A65FA4"/>
    <w:rsid w:val="19B17BFE"/>
    <w:rsid w:val="19C2164E"/>
    <w:rsid w:val="19EF71C2"/>
    <w:rsid w:val="1A2F7AB3"/>
    <w:rsid w:val="1A312930"/>
    <w:rsid w:val="1A3631F3"/>
    <w:rsid w:val="1A3913DA"/>
    <w:rsid w:val="1A6B4725"/>
    <w:rsid w:val="1AFE48C4"/>
    <w:rsid w:val="1B7C2DB0"/>
    <w:rsid w:val="1B9B2757"/>
    <w:rsid w:val="1BD94E75"/>
    <w:rsid w:val="1C074007"/>
    <w:rsid w:val="1C164652"/>
    <w:rsid w:val="1C5B089D"/>
    <w:rsid w:val="1C7C7622"/>
    <w:rsid w:val="1CB1345D"/>
    <w:rsid w:val="1CB25FAA"/>
    <w:rsid w:val="1D6C6D8D"/>
    <w:rsid w:val="1DB55555"/>
    <w:rsid w:val="1DDE692B"/>
    <w:rsid w:val="1DF71875"/>
    <w:rsid w:val="1E13619C"/>
    <w:rsid w:val="1E1C064C"/>
    <w:rsid w:val="1E300367"/>
    <w:rsid w:val="1E8D302C"/>
    <w:rsid w:val="1EB70BB0"/>
    <w:rsid w:val="1ED668A5"/>
    <w:rsid w:val="1EDB2E6A"/>
    <w:rsid w:val="1EE243D4"/>
    <w:rsid w:val="1EE91A2B"/>
    <w:rsid w:val="1F00520E"/>
    <w:rsid w:val="1F6071C6"/>
    <w:rsid w:val="1F6746CF"/>
    <w:rsid w:val="1F6C281F"/>
    <w:rsid w:val="1F821D6D"/>
    <w:rsid w:val="1FBF0E2C"/>
    <w:rsid w:val="1FDF698A"/>
    <w:rsid w:val="1FE43FA1"/>
    <w:rsid w:val="1FEF202F"/>
    <w:rsid w:val="202C5072"/>
    <w:rsid w:val="20573D31"/>
    <w:rsid w:val="206A0C3C"/>
    <w:rsid w:val="20BF7F0D"/>
    <w:rsid w:val="20C85774"/>
    <w:rsid w:val="2140217B"/>
    <w:rsid w:val="215271A5"/>
    <w:rsid w:val="21983E99"/>
    <w:rsid w:val="21CF17E0"/>
    <w:rsid w:val="21D25582"/>
    <w:rsid w:val="22213468"/>
    <w:rsid w:val="22427D18"/>
    <w:rsid w:val="22780641"/>
    <w:rsid w:val="229B49B6"/>
    <w:rsid w:val="22CE12B9"/>
    <w:rsid w:val="230C593D"/>
    <w:rsid w:val="23351CA0"/>
    <w:rsid w:val="23407860"/>
    <w:rsid w:val="23470A99"/>
    <w:rsid w:val="23471A5E"/>
    <w:rsid w:val="2374336A"/>
    <w:rsid w:val="23B245A0"/>
    <w:rsid w:val="240D7D57"/>
    <w:rsid w:val="240E2F5D"/>
    <w:rsid w:val="2479115B"/>
    <w:rsid w:val="248E542E"/>
    <w:rsid w:val="24A501A2"/>
    <w:rsid w:val="254A31F2"/>
    <w:rsid w:val="257858B7"/>
    <w:rsid w:val="258942EE"/>
    <w:rsid w:val="25B368EF"/>
    <w:rsid w:val="25D1410B"/>
    <w:rsid w:val="26617E4F"/>
    <w:rsid w:val="26A1730A"/>
    <w:rsid w:val="26C708A4"/>
    <w:rsid w:val="26E804F0"/>
    <w:rsid w:val="26F833EC"/>
    <w:rsid w:val="270C0878"/>
    <w:rsid w:val="271E31D1"/>
    <w:rsid w:val="271F04E0"/>
    <w:rsid w:val="277F6CFA"/>
    <w:rsid w:val="279D2FAC"/>
    <w:rsid w:val="282350FB"/>
    <w:rsid w:val="28313B98"/>
    <w:rsid w:val="286F2FA1"/>
    <w:rsid w:val="28A65EE8"/>
    <w:rsid w:val="29323DEB"/>
    <w:rsid w:val="298E2054"/>
    <w:rsid w:val="29DD3F3B"/>
    <w:rsid w:val="29E22442"/>
    <w:rsid w:val="2A332567"/>
    <w:rsid w:val="2A4B3E74"/>
    <w:rsid w:val="2A6C3C54"/>
    <w:rsid w:val="2A8105E2"/>
    <w:rsid w:val="2AA41740"/>
    <w:rsid w:val="2AB00C03"/>
    <w:rsid w:val="2AC61C51"/>
    <w:rsid w:val="2ACB46DB"/>
    <w:rsid w:val="2AEA6622"/>
    <w:rsid w:val="2AF4778E"/>
    <w:rsid w:val="2B1579B4"/>
    <w:rsid w:val="2B830B12"/>
    <w:rsid w:val="2BAE02EF"/>
    <w:rsid w:val="2C04777D"/>
    <w:rsid w:val="2C1B0B68"/>
    <w:rsid w:val="2C610E53"/>
    <w:rsid w:val="2C6B7F24"/>
    <w:rsid w:val="2C7B5029"/>
    <w:rsid w:val="2C8132A3"/>
    <w:rsid w:val="2C9409E4"/>
    <w:rsid w:val="2CB266F9"/>
    <w:rsid w:val="2D8345F9"/>
    <w:rsid w:val="2D850B71"/>
    <w:rsid w:val="2D9214E0"/>
    <w:rsid w:val="2DB35827"/>
    <w:rsid w:val="2EAF1588"/>
    <w:rsid w:val="2EF30802"/>
    <w:rsid w:val="2EFD4C18"/>
    <w:rsid w:val="2F0A6F96"/>
    <w:rsid w:val="2FA24BF0"/>
    <w:rsid w:val="2FAF6379"/>
    <w:rsid w:val="301A115F"/>
    <w:rsid w:val="3040591E"/>
    <w:rsid w:val="305B34C4"/>
    <w:rsid w:val="30B6196F"/>
    <w:rsid w:val="30FA7AC8"/>
    <w:rsid w:val="31300B2E"/>
    <w:rsid w:val="31513B4A"/>
    <w:rsid w:val="31646B9F"/>
    <w:rsid w:val="317056D4"/>
    <w:rsid w:val="31813D45"/>
    <w:rsid w:val="31EE3B7B"/>
    <w:rsid w:val="322D7BB5"/>
    <w:rsid w:val="32472B70"/>
    <w:rsid w:val="32642895"/>
    <w:rsid w:val="32C62500"/>
    <w:rsid w:val="32E40F8F"/>
    <w:rsid w:val="32EB591A"/>
    <w:rsid w:val="3305686C"/>
    <w:rsid w:val="330668C7"/>
    <w:rsid w:val="331257A9"/>
    <w:rsid w:val="331D1074"/>
    <w:rsid w:val="336F2F21"/>
    <w:rsid w:val="33914887"/>
    <w:rsid w:val="33DE26A3"/>
    <w:rsid w:val="34157657"/>
    <w:rsid w:val="345721DA"/>
    <w:rsid w:val="3468501E"/>
    <w:rsid w:val="349C6908"/>
    <w:rsid w:val="353510CF"/>
    <w:rsid w:val="353A59B6"/>
    <w:rsid w:val="353E4E8E"/>
    <w:rsid w:val="35401C2F"/>
    <w:rsid w:val="3598340C"/>
    <w:rsid w:val="35A4062A"/>
    <w:rsid w:val="35A94E60"/>
    <w:rsid w:val="35CC2F71"/>
    <w:rsid w:val="35D95EFE"/>
    <w:rsid w:val="36032F7B"/>
    <w:rsid w:val="361231BE"/>
    <w:rsid w:val="365732C7"/>
    <w:rsid w:val="36632192"/>
    <w:rsid w:val="368A5C96"/>
    <w:rsid w:val="369A3D35"/>
    <w:rsid w:val="36BE7AE4"/>
    <w:rsid w:val="370F76FD"/>
    <w:rsid w:val="37164731"/>
    <w:rsid w:val="37386C54"/>
    <w:rsid w:val="373D358A"/>
    <w:rsid w:val="375515B4"/>
    <w:rsid w:val="37A961F9"/>
    <w:rsid w:val="37BD7F56"/>
    <w:rsid w:val="37D56B99"/>
    <w:rsid w:val="37DA22BE"/>
    <w:rsid w:val="37E87112"/>
    <w:rsid w:val="37F4701F"/>
    <w:rsid w:val="384241E9"/>
    <w:rsid w:val="3843357E"/>
    <w:rsid w:val="38462CFC"/>
    <w:rsid w:val="385C4BC4"/>
    <w:rsid w:val="385F7EA5"/>
    <w:rsid w:val="38627D1B"/>
    <w:rsid w:val="388D7DEC"/>
    <w:rsid w:val="38A05EBA"/>
    <w:rsid w:val="38CC3CB1"/>
    <w:rsid w:val="38D46734"/>
    <w:rsid w:val="38F8669B"/>
    <w:rsid w:val="39D54578"/>
    <w:rsid w:val="3A2F2590"/>
    <w:rsid w:val="3A361B71"/>
    <w:rsid w:val="3A52002D"/>
    <w:rsid w:val="3ACB1E7C"/>
    <w:rsid w:val="3B181184"/>
    <w:rsid w:val="3B2A004C"/>
    <w:rsid w:val="3B4C2CCE"/>
    <w:rsid w:val="3B4E7901"/>
    <w:rsid w:val="3B975351"/>
    <w:rsid w:val="3BB464F1"/>
    <w:rsid w:val="3BC758E6"/>
    <w:rsid w:val="3C012485"/>
    <w:rsid w:val="3C1A1433"/>
    <w:rsid w:val="3C401BE4"/>
    <w:rsid w:val="3C536B2C"/>
    <w:rsid w:val="3C5C50CF"/>
    <w:rsid w:val="3CB46AF1"/>
    <w:rsid w:val="3CC65551"/>
    <w:rsid w:val="3D335DE1"/>
    <w:rsid w:val="3D5008C8"/>
    <w:rsid w:val="3D6B318F"/>
    <w:rsid w:val="3DCA6F9F"/>
    <w:rsid w:val="3E0C02DB"/>
    <w:rsid w:val="3E150198"/>
    <w:rsid w:val="3E3437EB"/>
    <w:rsid w:val="3E5F232D"/>
    <w:rsid w:val="3E815608"/>
    <w:rsid w:val="3EB13F11"/>
    <w:rsid w:val="3EB219E2"/>
    <w:rsid w:val="3EC22641"/>
    <w:rsid w:val="3EC333A0"/>
    <w:rsid w:val="3F4B70EB"/>
    <w:rsid w:val="3F5517B3"/>
    <w:rsid w:val="3F867268"/>
    <w:rsid w:val="3F9C22F0"/>
    <w:rsid w:val="3F9F1F66"/>
    <w:rsid w:val="401B0D58"/>
    <w:rsid w:val="40684194"/>
    <w:rsid w:val="40A435AC"/>
    <w:rsid w:val="40A61741"/>
    <w:rsid w:val="410F592E"/>
    <w:rsid w:val="414A4154"/>
    <w:rsid w:val="41D8350E"/>
    <w:rsid w:val="41DD1D33"/>
    <w:rsid w:val="42ED4682"/>
    <w:rsid w:val="430D73BE"/>
    <w:rsid w:val="43315D2E"/>
    <w:rsid w:val="43560B8E"/>
    <w:rsid w:val="436F1C02"/>
    <w:rsid w:val="43846407"/>
    <w:rsid w:val="444943B9"/>
    <w:rsid w:val="446176B0"/>
    <w:rsid w:val="446A5A9A"/>
    <w:rsid w:val="448B2102"/>
    <w:rsid w:val="44A8144D"/>
    <w:rsid w:val="44AA7AE8"/>
    <w:rsid w:val="44F0279B"/>
    <w:rsid w:val="44F51D0F"/>
    <w:rsid w:val="44FB5CD4"/>
    <w:rsid w:val="45102FBE"/>
    <w:rsid w:val="452A0524"/>
    <w:rsid w:val="45307A78"/>
    <w:rsid w:val="454D5C68"/>
    <w:rsid w:val="458E5786"/>
    <w:rsid w:val="45DD7344"/>
    <w:rsid w:val="469A1963"/>
    <w:rsid w:val="46C6427C"/>
    <w:rsid w:val="46DB6B62"/>
    <w:rsid w:val="472B0583"/>
    <w:rsid w:val="47605BC6"/>
    <w:rsid w:val="4768310D"/>
    <w:rsid w:val="477E24A6"/>
    <w:rsid w:val="478D7161"/>
    <w:rsid w:val="47B876E8"/>
    <w:rsid w:val="47EE2EA3"/>
    <w:rsid w:val="47FB61A8"/>
    <w:rsid w:val="483416BA"/>
    <w:rsid w:val="487524B2"/>
    <w:rsid w:val="488345C4"/>
    <w:rsid w:val="48877259"/>
    <w:rsid w:val="489C1C97"/>
    <w:rsid w:val="48A11261"/>
    <w:rsid w:val="49225514"/>
    <w:rsid w:val="49304650"/>
    <w:rsid w:val="49402663"/>
    <w:rsid w:val="49635647"/>
    <w:rsid w:val="4A1672C9"/>
    <w:rsid w:val="4A176B9D"/>
    <w:rsid w:val="4A234B69"/>
    <w:rsid w:val="4A4861AE"/>
    <w:rsid w:val="4A970ECA"/>
    <w:rsid w:val="4AB92DEE"/>
    <w:rsid w:val="4B367AD7"/>
    <w:rsid w:val="4B5D0621"/>
    <w:rsid w:val="4B7F423A"/>
    <w:rsid w:val="4BF453E8"/>
    <w:rsid w:val="4BF61160"/>
    <w:rsid w:val="4C0559E2"/>
    <w:rsid w:val="4C0F4BC6"/>
    <w:rsid w:val="4C5D11DF"/>
    <w:rsid w:val="4C910E89"/>
    <w:rsid w:val="4CA010CC"/>
    <w:rsid w:val="4CD174D7"/>
    <w:rsid w:val="4D230FA4"/>
    <w:rsid w:val="4D706CF0"/>
    <w:rsid w:val="4D911437"/>
    <w:rsid w:val="4DBC1F35"/>
    <w:rsid w:val="4E612ADD"/>
    <w:rsid w:val="4EC25B38"/>
    <w:rsid w:val="4EEE3181"/>
    <w:rsid w:val="4EF13E61"/>
    <w:rsid w:val="4F312B99"/>
    <w:rsid w:val="4F5159D7"/>
    <w:rsid w:val="4F5F12C7"/>
    <w:rsid w:val="4F7725B8"/>
    <w:rsid w:val="503E0E60"/>
    <w:rsid w:val="50506965"/>
    <w:rsid w:val="507765E7"/>
    <w:rsid w:val="508309F9"/>
    <w:rsid w:val="50C258B2"/>
    <w:rsid w:val="50EA7DBE"/>
    <w:rsid w:val="50F57C05"/>
    <w:rsid w:val="50FD6AED"/>
    <w:rsid w:val="510078F8"/>
    <w:rsid w:val="512F1FB6"/>
    <w:rsid w:val="515B4CF6"/>
    <w:rsid w:val="515F0B5F"/>
    <w:rsid w:val="519D2357"/>
    <w:rsid w:val="520B49A6"/>
    <w:rsid w:val="520E3151"/>
    <w:rsid w:val="52291B63"/>
    <w:rsid w:val="522D3402"/>
    <w:rsid w:val="52576789"/>
    <w:rsid w:val="528C2DED"/>
    <w:rsid w:val="52BB4769"/>
    <w:rsid w:val="52BC4786"/>
    <w:rsid w:val="52BF44C2"/>
    <w:rsid w:val="53191BD8"/>
    <w:rsid w:val="532A7D13"/>
    <w:rsid w:val="53706D9D"/>
    <w:rsid w:val="53711F79"/>
    <w:rsid w:val="537506AF"/>
    <w:rsid w:val="540A502D"/>
    <w:rsid w:val="542F25BA"/>
    <w:rsid w:val="54487998"/>
    <w:rsid w:val="545804DE"/>
    <w:rsid w:val="5463310B"/>
    <w:rsid w:val="54681FD0"/>
    <w:rsid w:val="546A2443"/>
    <w:rsid w:val="548412D3"/>
    <w:rsid w:val="54B9762A"/>
    <w:rsid w:val="54E31C07"/>
    <w:rsid w:val="54E67F3C"/>
    <w:rsid w:val="556F4103"/>
    <w:rsid w:val="5594398A"/>
    <w:rsid w:val="55A84294"/>
    <w:rsid w:val="55E46E28"/>
    <w:rsid w:val="563867C7"/>
    <w:rsid w:val="566E65CD"/>
    <w:rsid w:val="56C02C5D"/>
    <w:rsid w:val="571D4121"/>
    <w:rsid w:val="5729189B"/>
    <w:rsid w:val="573879E7"/>
    <w:rsid w:val="575C70D0"/>
    <w:rsid w:val="5792501F"/>
    <w:rsid w:val="57C61814"/>
    <w:rsid w:val="57FB365A"/>
    <w:rsid w:val="57FF5982"/>
    <w:rsid w:val="580B27EF"/>
    <w:rsid w:val="580E6484"/>
    <w:rsid w:val="58296419"/>
    <w:rsid w:val="583067EF"/>
    <w:rsid w:val="589B7DF0"/>
    <w:rsid w:val="58E06977"/>
    <w:rsid w:val="58E467E4"/>
    <w:rsid w:val="58EB36CF"/>
    <w:rsid w:val="590649AC"/>
    <w:rsid w:val="590B2E55"/>
    <w:rsid w:val="591A0AE4"/>
    <w:rsid w:val="59266DFD"/>
    <w:rsid w:val="59413F23"/>
    <w:rsid w:val="59626A67"/>
    <w:rsid w:val="596443A2"/>
    <w:rsid w:val="59665797"/>
    <w:rsid w:val="599D70BF"/>
    <w:rsid w:val="5A494BC1"/>
    <w:rsid w:val="5A563EE6"/>
    <w:rsid w:val="5A9164F8"/>
    <w:rsid w:val="5AAB61D8"/>
    <w:rsid w:val="5AD83E96"/>
    <w:rsid w:val="5ADC3636"/>
    <w:rsid w:val="5B0D4D97"/>
    <w:rsid w:val="5B9A7C7D"/>
    <w:rsid w:val="5BD72BF4"/>
    <w:rsid w:val="5BEF076A"/>
    <w:rsid w:val="5BF907F8"/>
    <w:rsid w:val="5BFB00CD"/>
    <w:rsid w:val="5C5030D5"/>
    <w:rsid w:val="5C7F2AAC"/>
    <w:rsid w:val="5C983B6D"/>
    <w:rsid w:val="5CA42168"/>
    <w:rsid w:val="5CA93F38"/>
    <w:rsid w:val="5CAD7D38"/>
    <w:rsid w:val="5CC9731A"/>
    <w:rsid w:val="5CD437AF"/>
    <w:rsid w:val="5CFF0F11"/>
    <w:rsid w:val="5D1D22C5"/>
    <w:rsid w:val="5D297D25"/>
    <w:rsid w:val="5DA65C6D"/>
    <w:rsid w:val="5DDB01B6"/>
    <w:rsid w:val="5E381A8A"/>
    <w:rsid w:val="5E770480"/>
    <w:rsid w:val="5EA76730"/>
    <w:rsid w:val="5EAA35A6"/>
    <w:rsid w:val="5ED370DF"/>
    <w:rsid w:val="5EE85F53"/>
    <w:rsid w:val="5F020973"/>
    <w:rsid w:val="5F0264FA"/>
    <w:rsid w:val="5F0D0843"/>
    <w:rsid w:val="5F2D3E6A"/>
    <w:rsid w:val="5F4E49B7"/>
    <w:rsid w:val="5F4F1120"/>
    <w:rsid w:val="5F5101AF"/>
    <w:rsid w:val="5F8E2EAA"/>
    <w:rsid w:val="5FEF619A"/>
    <w:rsid w:val="60AD1020"/>
    <w:rsid w:val="60CD39EB"/>
    <w:rsid w:val="60D01E8A"/>
    <w:rsid w:val="61163888"/>
    <w:rsid w:val="611B3CDB"/>
    <w:rsid w:val="61373847"/>
    <w:rsid w:val="61430D58"/>
    <w:rsid w:val="61671270"/>
    <w:rsid w:val="61BB3052"/>
    <w:rsid w:val="61E64557"/>
    <w:rsid w:val="6246445C"/>
    <w:rsid w:val="625B7B17"/>
    <w:rsid w:val="6271730F"/>
    <w:rsid w:val="627E55B4"/>
    <w:rsid w:val="62A0377C"/>
    <w:rsid w:val="63027F93"/>
    <w:rsid w:val="63344A56"/>
    <w:rsid w:val="633B5253"/>
    <w:rsid w:val="637131F8"/>
    <w:rsid w:val="63992F0E"/>
    <w:rsid w:val="639F43FE"/>
    <w:rsid w:val="63D424D8"/>
    <w:rsid w:val="63E44662"/>
    <w:rsid w:val="640A6599"/>
    <w:rsid w:val="640B28F2"/>
    <w:rsid w:val="640D604E"/>
    <w:rsid w:val="6445282D"/>
    <w:rsid w:val="64CE1ADF"/>
    <w:rsid w:val="64D27A01"/>
    <w:rsid w:val="6502427A"/>
    <w:rsid w:val="651B07DA"/>
    <w:rsid w:val="65BC07BA"/>
    <w:rsid w:val="65C23C99"/>
    <w:rsid w:val="662C2956"/>
    <w:rsid w:val="66666D97"/>
    <w:rsid w:val="66CF372B"/>
    <w:rsid w:val="66F1473C"/>
    <w:rsid w:val="67231596"/>
    <w:rsid w:val="67C332B9"/>
    <w:rsid w:val="67CE1CAA"/>
    <w:rsid w:val="67DC6B15"/>
    <w:rsid w:val="6810439F"/>
    <w:rsid w:val="6848469A"/>
    <w:rsid w:val="688D1A12"/>
    <w:rsid w:val="68C75DA5"/>
    <w:rsid w:val="68D96B7C"/>
    <w:rsid w:val="68EB6D1D"/>
    <w:rsid w:val="69034A64"/>
    <w:rsid w:val="690F11B3"/>
    <w:rsid w:val="691B7CB5"/>
    <w:rsid w:val="694C3155"/>
    <w:rsid w:val="696D03C4"/>
    <w:rsid w:val="69CE5072"/>
    <w:rsid w:val="6A554654"/>
    <w:rsid w:val="6A60564F"/>
    <w:rsid w:val="6A834BCF"/>
    <w:rsid w:val="6AB148EE"/>
    <w:rsid w:val="6ABD0DF3"/>
    <w:rsid w:val="6ACE4825"/>
    <w:rsid w:val="6B0B7C00"/>
    <w:rsid w:val="6B3A4988"/>
    <w:rsid w:val="6B482C03"/>
    <w:rsid w:val="6B7925B5"/>
    <w:rsid w:val="6BA324FF"/>
    <w:rsid w:val="6BEB2BC4"/>
    <w:rsid w:val="6C4B6506"/>
    <w:rsid w:val="6C8351BF"/>
    <w:rsid w:val="6CA33EDE"/>
    <w:rsid w:val="6CAB51F1"/>
    <w:rsid w:val="6CC20A49"/>
    <w:rsid w:val="6CCB095D"/>
    <w:rsid w:val="6D1817A7"/>
    <w:rsid w:val="6D1D70C2"/>
    <w:rsid w:val="6D53301E"/>
    <w:rsid w:val="6D8F3676"/>
    <w:rsid w:val="6D9F0A23"/>
    <w:rsid w:val="6DA04981"/>
    <w:rsid w:val="6DAB2DDA"/>
    <w:rsid w:val="6DBF7B99"/>
    <w:rsid w:val="6DC5435B"/>
    <w:rsid w:val="6DE50BDD"/>
    <w:rsid w:val="6E672882"/>
    <w:rsid w:val="6E742F01"/>
    <w:rsid w:val="6E9862AC"/>
    <w:rsid w:val="6EB031A7"/>
    <w:rsid w:val="6EC868F6"/>
    <w:rsid w:val="6EEB653B"/>
    <w:rsid w:val="6F1057E5"/>
    <w:rsid w:val="6F1277AF"/>
    <w:rsid w:val="6F4F679F"/>
    <w:rsid w:val="6F6372E3"/>
    <w:rsid w:val="6F872F56"/>
    <w:rsid w:val="6F897271"/>
    <w:rsid w:val="6FB661AE"/>
    <w:rsid w:val="6FDA2D84"/>
    <w:rsid w:val="702A28D7"/>
    <w:rsid w:val="70504BCE"/>
    <w:rsid w:val="71291C90"/>
    <w:rsid w:val="71355DE7"/>
    <w:rsid w:val="71963905"/>
    <w:rsid w:val="721A5B23"/>
    <w:rsid w:val="7221699C"/>
    <w:rsid w:val="72220F73"/>
    <w:rsid w:val="7239519A"/>
    <w:rsid w:val="723A51FC"/>
    <w:rsid w:val="72740B74"/>
    <w:rsid w:val="72893240"/>
    <w:rsid w:val="72A673E9"/>
    <w:rsid w:val="72A9667D"/>
    <w:rsid w:val="73877ECB"/>
    <w:rsid w:val="73B45C1E"/>
    <w:rsid w:val="73CA0F4C"/>
    <w:rsid w:val="740F67CF"/>
    <w:rsid w:val="741C2A91"/>
    <w:rsid w:val="74336D6B"/>
    <w:rsid w:val="7460683E"/>
    <w:rsid w:val="74670244"/>
    <w:rsid w:val="74C463D7"/>
    <w:rsid w:val="74D44690"/>
    <w:rsid w:val="74F033FA"/>
    <w:rsid w:val="75014A60"/>
    <w:rsid w:val="75143E7A"/>
    <w:rsid w:val="7544268D"/>
    <w:rsid w:val="75526742"/>
    <w:rsid w:val="755723C0"/>
    <w:rsid w:val="75846F2D"/>
    <w:rsid w:val="75911AFE"/>
    <w:rsid w:val="75D06DDF"/>
    <w:rsid w:val="75D31F5A"/>
    <w:rsid w:val="760D4D97"/>
    <w:rsid w:val="7633736D"/>
    <w:rsid w:val="764062FA"/>
    <w:rsid w:val="76555FFC"/>
    <w:rsid w:val="76AC798B"/>
    <w:rsid w:val="76C106C9"/>
    <w:rsid w:val="76C577FD"/>
    <w:rsid w:val="76D20C78"/>
    <w:rsid w:val="76D20FED"/>
    <w:rsid w:val="76D46370"/>
    <w:rsid w:val="76F771B9"/>
    <w:rsid w:val="76FB321F"/>
    <w:rsid w:val="771F0CBB"/>
    <w:rsid w:val="772E3713"/>
    <w:rsid w:val="778C42F4"/>
    <w:rsid w:val="77CB0E43"/>
    <w:rsid w:val="77CC0F11"/>
    <w:rsid w:val="77DE41E0"/>
    <w:rsid w:val="77E14132"/>
    <w:rsid w:val="77E91D55"/>
    <w:rsid w:val="78115159"/>
    <w:rsid w:val="794B223C"/>
    <w:rsid w:val="797D7F1B"/>
    <w:rsid w:val="7992527E"/>
    <w:rsid w:val="79D63AE0"/>
    <w:rsid w:val="79DD7233"/>
    <w:rsid w:val="7A195761"/>
    <w:rsid w:val="7A717CA2"/>
    <w:rsid w:val="7A74066E"/>
    <w:rsid w:val="7AA63AE5"/>
    <w:rsid w:val="7AC2508C"/>
    <w:rsid w:val="7B165BB8"/>
    <w:rsid w:val="7B3B1E3C"/>
    <w:rsid w:val="7B4D105E"/>
    <w:rsid w:val="7B66200D"/>
    <w:rsid w:val="7BBF7D29"/>
    <w:rsid w:val="7BE451FE"/>
    <w:rsid w:val="7BFA3690"/>
    <w:rsid w:val="7C0675C8"/>
    <w:rsid w:val="7C2E69AD"/>
    <w:rsid w:val="7C586438"/>
    <w:rsid w:val="7C7C524C"/>
    <w:rsid w:val="7C887617"/>
    <w:rsid w:val="7C8F3DFF"/>
    <w:rsid w:val="7C964A73"/>
    <w:rsid w:val="7CA22801"/>
    <w:rsid w:val="7CD506B4"/>
    <w:rsid w:val="7D056BA5"/>
    <w:rsid w:val="7D0F2D4A"/>
    <w:rsid w:val="7D1B11CD"/>
    <w:rsid w:val="7D1C1B00"/>
    <w:rsid w:val="7D31799A"/>
    <w:rsid w:val="7D8B6E3B"/>
    <w:rsid w:val="7DC9306D"/>
    <w:rsid w:val="7DEA19AE"/>
    <w:rsid w:val="7E11232C"/>
    <w:rsid w:val="7E263D94"/>
    <w:rsid w:val="7E370FE0"/>
    <w:rsid w:val="7E823B29"/>
    <w:rsid w:val="7E950CD5"/>
    <w:rsid w:val="7E9C52E7"/>
    <w:rsid w:val="7ED12997"/>
    <w:rsid w:val="7EDC6EF3"/>
    <w:rsid w:val="7F19680A"/>
    <w:rsid w:val="7F2316CC"/>
    <w:rsid w:val="7F5E7D5E"/>
    <w:rsid w:val="7F686F78"/>
    <w:rsid w:val="7F8367B1"/>
    <w:rsid w:val="7F9B734D"/>
    <w:rsid w:val="7FB20BCE"/>
    <w:rsid w:val="7FC315AA"/>
    <w:rsid w:val="7FEA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5" w:lineRule="auto"/>
      <w:ind w:firstLine="137" w:firstLineChars="49"/>
      <w:outlineLvl w:val="2"/>
    </w:pPr>
    <w:rPr>
      <w:rFonts w:ascii="黑体" w:eastAsia="黑体"/>
      <w:bCs/>
      <w:sz w:val="28"/>
      <w:szCs w:val="28"/>
    </w:rPr>
  </w:style>
  <w:style w:type="paragraph" w:styleId="6">
    <w:name w:val="heading 4"/>
    <w:basedOn w:val="1"/>
    <w:next w:val="1"/>
    <w:autoRedefine/>
    <w:qFormat/>
    <w:uiPriority w:val="9"/>
    <w:pPr>
      <w:keepNext/>
      <w:keepLines/>
      <w:spacing w:before="280" w:after="290" w:line="376" w:lineRule="auto"/>
      <w:outlineLvl w:val="3"/>
    </w:pPr>
    <w:rPr>
      <w:rFonts w:ascii="Cambria" w:hAnsi="Cambria"/>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rPr>
      <w:rFonts w:ascii="Calibri" w:hAnsi="Calibri"/>
    </w:rPr>
  </w:style>
  <w:style w:type="paragraph" w:styleId="7">
    <w:name w:val="annotation text"/>
    <w:basedOn w:val="1"/>
    <w:link w:val="42"/>
    <w:autoRedefine/>
    <w:qFormat/>
    <w:uiPriority w:val="0"/>
    <w:pPr>
      <w:jc w:val="left"/>
    </w:pPr>
  </w:style>
  <w:style w:type="paragraph" w:styleId="8">
    <w:name w:val="Body Text"/>
    <w:basedOn w:val="1"/>
    <w:next w:val="9"/>
    <w:autoRedefine/>
    <w:qFormat/>
    <w:uiPriority w:val="1"/>
    <w:rPr>
      <w:szCs w:val="21"/>
    </w:r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2"/>
    <w:autoRedefine/>
    <w:qFormat/>
    <w:uiPriority w:val="0"/>
    <w:pPr>
      <w:widowControl w:val="0"/>
      <w:spacing w:line="420" w:lineRule="exact"/>
      <w:ind w:firstLine="420" w:firstLineChars="200"/>
    </w:pPr>
    <w:rPr>
      <w:rFonts w:ascii="宋体" w:hAnsi="宋体" w:eastAsia="宋体" w:cs="宋体"/>
      <w:color w:val="FF0000"/>
      <w:sz w:val="21"/>
      <w:szCs w:val="21"/>
      <w:lang w:val="en-US" w:eastAsia="zh-CN" w:bidi="ar-SA"/>
    </w:rPr>
  </w:style>
  <w:style w:type="paragraph" w:customStyle="1" w:styleId="12">
    <w:name w:val="正文 A"/>
    <w:next w:val="11"/>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3">
    <w:name w:val="Body Text Indent"/>
    <w:basedOn w:val="1"/>
    <w:next w:val="14"/>
    <w:autoRedefine/>
    <w:qFormat/>
    <w:uiPriority w:val="99"/>
    <w:pPr>
      <w:spacing w:line="400" w:lineRule="exact"/>
      <w:ind w:firstLine="515"/>
    </w:pPr>
    <w:rPr>
      <w:rFonts w:ascii="楷体_GB2312" w:eastAsia="楷体_GB2312"/>
      <w:b/>
      <w:bCs/>
      <w:kern w:val="0"/>
      <w:sz w:val="24"/>
    </w:rPr>
  </w:style>
  <w:style w:type="paragraph" w:styleId="14">
    <w:name w:val="envelope return"/>
    <w:basedOn w:val="1"/>
    <w:autoRedefine/>
    <w:qFormat/>
    <w:uiPriority w:val="0"/>
    <w:pPr>
      <w:snapToGrid w:val="0"/>
    </w:pPr>
    <w:rPr>
      <w:rFonts w:ascii="Arial" w:hAnsi="Arial"/>
    </w:rPr>
  </w:style>
  <w:style w:type="paragraph" w:styleId="15">
    <w:name w:val="Plain Text"/>
    <w:autoRedefine/>
    <w:unhideWhenUsed/>
    <w:qFormat/>
    <w:uiPriority w:val="0"/>
    <w:pPr>
      <w:widowControl w:val="0"/>
      <w:jc w:val="both"/>
    </w:pPr>
    <w:rPr>
      <w:rFonts w:ascii="宋体" w:hAnsi="Courier New" w:eastAsia="宋体" w:cs="Times New Roman"/>
      <w:kern w:val="2"/>
      <w:sz w:val="21"/>
      <w:szCs w:val="21"/>
      <w:lang w:val="en-US" w:eastAsia="zh-CN" w:bidi="ar-SA"/>
    </w:rPr>
  </w:style>
  <w:style w:type="paragraph" w:styleId="16">
    <w:name w:val="Date"/>
    <w:basedOn w:val="1"/>
    <w:next w:val="1"/>
    <w:link w:val="45"/>
    <w:autoRedefine/>
    <w:qFormat/>
    <w:uiPriority w:val="0"/>
    <w:pPr>
      <w:ind w:left="100" w:leftChars="2500"/>
    </w:pPr>
  </w:style>
  <w:style w:type="paragraph" w:styleId="17">
    <w:name w:val="Balloon Text"/>
    <w:basedOn w:val="1"/>
    <w:link w:val="44"/>
    <w:autoRedefine/>
    <w:qFormat/>
    <w:uiPriority w:val="0"/>
    <w:rPr>
      <w:sz w:val="18"/>
      <w:szCs w:val="18"/>
    </w:rPr>
  </w:style>
  <w:style w:type="paragraph" w:styleId="18">
    <w:name w:val="footer"/>
    <w:basedOn w:val="1"/>
    <w:link w:val="47"/>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autoRedefine/>
    <w:qFormat/>
    <w:uiPriority w:val="11"/>
    <w:pPr>
      <w:spacing w:before="240" w:after="60" w:line="312" w:lineRule="auto"/>
      <w:jc w:val="center"/>
      <w:outlineLvl w:val="1"/>
    </w:pPr>
    <w:rPr>
      <w:rFonts w:ascii="等线 Light" w:hAnsi="等线 Light"/>
      <w:b/>
      <w:bCs/>
      <w:kern w:val="28"/>
      <w:sz w:val="32"/>
      <w:szCs w:val="32"/>
    </w:rPr>
  </w:style>
  <w:style w:type="paragraph" w:styleId="21">
    <w:name w:val="toc 2"/>
    <w:basedOn w:val="1"/>
    <w:next w:val="1"/>
    <w:autoRedefine/>
    <w:qFormat/>
    <w:uiPriority w:val="0"/>
    <w:pPr>
      <w:tabs>
        <w:tab w:val="right" w:leader="dot" w:pos="9178"/>
      </w:tabs>
      <w:jc w:val="center"/>
    </w:pPr>
    <w:rPr>
      <w:rFonts w:ascii="黑体" w:hAnsi="宋体" w:eastAsia="黑体" w:cs="宋体"/>
      <w:position w:val="6"/>
      <w:sz w:val="44"/>
      <w:szCs w:val="44"/>
    </w:rPr>
  </w:style>
  <w:style w:type="paragraph" w:styleId="22">
    <w:name w:val="Normal (Web)"/>
    <w:basedOn w:val="1"/>
    <w:autoRedefine/>
    <w:qFormat/>
    <w:uiPriority w:val="0"/>
    <w:pPr>
      <w:jc w:val="left"/>
    </w:pPr>
    <w:rPr>
      <w:kern w:val="0"/>
      <w:sz w:val="24"/>
    </w:rPr>
  </w:style>
  <w:style w:type="paragraph" w:styleId="23">
    <w:name w:val="Title"/>
    <w:basedOn w:val="1"/>
    <w:next w:val="1"/>
    <w:autoRedefine/>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43"/>
    <w:autoRedefine/>
    <w:qFormat/>
    <w:uiPriority w:val="0"/>
    <w:rPr>
      <w:b/>
      <w:bCs/>
    </w:rPr>
  </w:style>
  <w:style w:type="paragraph" w:styleId="25">
    <w:name w:val="Body Text First Indent"/>
    <w:basedOn w:val="8"/>
    <w:autoRedefine/>
    <w:qFormat/>
    <w:uiPriority w:val="0"/>
    <w:pPr>
      <w:spacing w:line="312" w:lineRule="auto"/>
      <w:ind w:firstLine="420"/>
    </w:pPr>
  </w:style>
  <w:style w:type="paragraph" w:styleId="26">
    <w:name w:val="Body Text First Indent 2"/>
    <w:basedOn w:val="13"/>
    <w:next w:val="1"/>
    <w:autoRedefine/>
    <w:qFormat/>
    <w:uiPriority w:val="0"/>
    <w:pPr>
      <w:spacing w:after="120" w:line="240" w:lineRule="auto"/>
      <w:ind w:left="420" w:leftChars="200" w:firstLine="420" w:firstLineChars="200"/>
    </w:pPr>
    <w:rPr>
      <w:sz w:val="21"/>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style>
  <w:style w:type="character" w:styleId="31">
    <w:name w:val="Hyperlink"/>
    <w:basedOn w:val="29"/>
    <w:autoRedefine/>
    <w:qFormat/>
    <w:uiPriority w:val="0"/>
    <w:rPr>
      <w:color w:val="0000FF"/>
      <w:u w:val="single"/>
    </w:rPr>
  </w:style>
  <w:style w:type="character" w:styleId="32">
    <w:name w:val="annotation reference"/>
    <w:basedOn w:val="29"/>
    <w:autoRedefine/>
    <w:qFormat/>
    <w:uiPriority w:val="0"/>
    <w:rPr>
      <w:sz w:val="21"/>
      <w:szCs w:val="21"/>
    </w:rPr>
  </w:style>
  <w:style w:type="paragraph" w:customStyle="1" w:styleId="3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style01"/>
    <w:autoRedefine/>
    <w:qFormat/>
    <w:uiPriority w:val="0"/>
    <w:rPr>
      <w:rFonts w:hint="eastAsia" w:ascii="宋体" w:hAnsi="宋体" w:eastAsia="宋体"/>
      <w:color w:val="000000"/>
      <w:sz w:val="24"/>
      <w:szCs w:val="24"/>
    </w:rPr>
  </w:style>
  <w:style w:type="paragraph" w:customStyle="1" w:styleId="36">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37">
    <w:name w:val="Body text|3"/>
    <w:basedOn w:val="1"/>
    <w:autoRedefine/>
    <w:qFormat/>
    <w:uiPriority w:val="0"/>
    <w:pPr>
      <w:spacing w:after="360"/>
      <w:jc w:val="center"/>
    </w:pPr>
    <w:rPr>
      <w:lang w:val="zh-TW" w:eastAsia="zh-TW" w:bidi="zh-TW"/>
    </w:rPr>
  </w:style>
  <w:style w:type="paragraph" w:customStyle="1" w:styleId="38">
    <w:name w:val="标题 11"/>
    <w:basedOn w:val="1"/>
    <w:autoRedefine/>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39">
    <w:name w:val="标题 31"/>
    <w:basedOn w:val="1"/>
    <w:autoRedefine/>
    <w:qFormat/>
    <w:uiPriority w:val="1"/>
    <w:pPr>
      <w:ind w:left="237" w:right="108"/>
      <w:outlineLvl w:val="3"/>
    </w:pPr>
    <w:rPr>
      <w:sz w:val="28"/>
      <w:szCs w:val="28"/>
    </w:rPr>
  </w:style>
  <w:style w:type="paragraph" w:customStyle="1" w:styleId="40">
    <w:name w:val="Table Paragraph"/>
    <w:basedOn w:val="1"/>
    <w:autoRedefine/>
    <w:qFormat/>
    <w:uiPriority w:val="1"/>
  </w:style>
  <w:style w:type="table" w:customStyle="1" w:styleId="41">
    <w:name w:val="Table Normal"/>
    <w:autoRedefine/>
    <w:semiHidden/>
    <w:unhideWhenUsed/>
    <w:qFormat/>
    <w:uiPriority w:val="2"/>
    <w:tblPr>
      <w:tblCellMar>
        <w:top w:w="0" w:type="dxa"/>
        <w:left w:w="0" w:type="dxa"/>
        <w:bottom w:w="0" w:type="dxa"/>
        <w:right w:w="0" w:type="dxa"/>
      </w:tblCellMar>
    </w:tblPr>
  </w:style>
  <w:style w:type="character" w:customStyle="1" w:styleId="42">
    <w:name w:val="批注文字 Char"/>
    <w:basedOn w:val="29"/>
    <w:link w:val="7"/>
    <w:autoRedefine/>
    <w:qFormat/>
    <w:uiPriority w:val="0"/>
    <w:rPr>
      <w:kern w:val="2"/>
      <w:sz w:val="21"/>
      <w:szCs w:val="24"/>
    </w:rPr>
  </w:style>
  <w:style w:type="character" w:customStyle="1" w:styleId="43">
    <w:name w:val="批注主题 Char"/>
    <w:basedOn w:val="42"/>
    <w:link w:val="24"/>
    <w:autoRedefine/>
    <w:qFormat/>
    <w:uiPriority w:val="0"/>
    <w:rPr>
      <w:b/>
      <w:bCs/>
      <w:kern w:val="2"/>
      <w:sz w:val="21"/>
      <w:szCs w:val="24"/>
    </w:rPr>
  </w:style>
  <w:style w:type="character" w:customStyle="1" w:styleId="44">
    <w:name w:val="批注框文本 Char"/>
    <w:basedOn w:val="29"/>
    <w:link w:val="17"/>
    <w:autoRedefine/>
    <w:qFormat/>
    <w:uiPriority w:val="0"/>
    <w:rPr>
      <w:kern w:val="2"/>
      <w:sz w:val="18"/>
      <w:szCs w:val="18"/>
    </w:rPr>
  </w:style>
  <w:style w:type="character" w:customStyle="1" w:styleId="45">
    <w:name w:val="日期 Char"/>
    <w:basedOn w:val="29"/>
    <w:link w:val="16"/>
    <w:autoRedefine/>
    <w:qFormat/>
    <w:uiPriority w:val="0"/>
    <w:rPr>
      <w:kern w:val="2"/>
      <w:sz w:val="21"/>
      <w:szCs w:val="24"/>
    </w:rPr>
  </w:style>
  <w:style w:type="paragraph" w:customStyle="1" w:styleId="46">
    <w:name w:val="首行缩进"/>
    <w:autoRedefine/>
    <w:qFormat/>
    <w:uiPriority w:val="0"/>
    <w:pPr>
      <w:widowControl w:val="0"/>
      <w:spacing w:line="360" w:lineRule="auto"/>
      <w:ind w:firstLine="480" w:firstLineChars="200"/>
    </w:pPr>
    <w:rPr>
      <w:rFonts w:ascii="宋体" w:hAnsi="宋体" w:eastAsia="宋体" w:cs="Times New Roman"/>
      <w:kern w:val="2"/>
      <w:sz w:val="24"/>
      <w:szCs w:val="24"/>
      <w:lang w:val="en-US" w:eastAsia="zh-CN" w:bidi="ar-SA"/>
    </w:rPr>
  </w:style>
  <w:style w:type="character" w:customStyle="1" w:styleId="47">
    <w:name w:val="页脚 Char"/>
    <w:basedOn w:val="29"/>
    <w:link w:val="18"/>
    <w:autoRedefine/>
    <w:qFormat/>
    <w:uiPriority w:val="99"/>
    <w:rPr>
      <w:kern w:val="2"/>
      <w:sz w:val="18"/>
      <w:szCs w:val="18"/>
    </w:rPr>
  </w:style>
  <w:style w:type="character" w:customStyle="1" w:styleId="48">
    <w:name w:val="font51"/>
    <w:basedOn w:val="29"/>
    <w:autoRedefine/>
    <w:qFormat/>
    <w:uiPriority w:val="0"/>
    <w:rPr>
      <w:rFonts w:hint="eastAsia" w:ascii="宋体" w:hAnsi="宋体" w:eastAsia="宋体" w:cs="宋体"/>
      <w:b/>
      <w:bCs/>
      <w:color w:val="000000"/>
      <w:sz w:val="20"/>
      <w:szCs w:val="20"/>
      <w:u w:val="none"/>
    </w:rPr>
  </w:style>
  <w:style w:type="character" w:customStyle="1" w:styleId="49">
    <w:name w:val="font41"/>
    <w:basedOn w:val="29"/>
    <w:autoRedefine/>
    <w:qFormat/>
    <w:uiPriority w:val="0"/>
    <w:rPr>
      <w:rFonts w:hint="default" w:ascii="Arial" w:hAnsi="Arial" w:cs="Arial"/>
      <w:b/>
      <w:bCs/>
      <w:color w:val="000000"/>
      <w:sz w:val="20"/>
      <w:szCs w:val="20"/>
      <w:u w:val="none"/>
    </w:rPr>
  </w:style>
  <w:style w:type="character" w:customStyle="1" w:styleId="50">
    <w:name w:val="font81"/>
    <w:basedOn w:val="29"/>
    <w:autoRedefine/>
    <w:qFormat/>
    <w:uiPriority w:val="0"/>
    <w:rPr>
      <w:rFonts w:hint="eastAsia" w:ascii="宋体" w:hAnsi="宋体" w:eastAsia="宋体" w:cs="宋体"/>
      <w:color w:val="000000"/>
      <w:sz w:val="18"/>
      <w:szCs w:val="18"/>
      <w:u w:val="none"/>
    </w:rPr>
  </w:style>
  <w:style w:type="character" w:customStyle="1" w:styleId="51">
    <w:name w:val="font21"/>
    <w:basedOn w:val="29"/>
    <w:autoRedefine/>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6DB75-B1FD-488A-8045-79D745E95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24791</Words>
  <Characters>25973</Characters>
  <Lines>196</Lines>
  <Paragraphs>55</Paragraphs>
  <TotalTime>8</TotalTime>
  <ScaleCrop>false</ScaleCrop>
  <LinksUpToDate>false</LinksUpToDate>
  <CharactersWithSpaces>26950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2023-06-12T08:35:00Z</dcterms:created>
  <dc:creator>ASUS</dc:creator>
  <cp:lastModifiedBy>梦婷</cp:lastModifiedBy>
  <cp:lastPrinted>2024-07-19T07:30:00Z</cp:lastPrinted>
  <dcterms:modified xsi:type="dcterms:W3CDTF">2025-03-14T04:06:37Z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B102B9BAC6544A76A7BA40F69C0EB4A1_13</vt:lpwstr>
  </property>
  <property fmtid="{D5CDD505-2E9C-101B-9397-08002B2CF9AE}" pid="4" name="KSOTemplateDocerSaveRecord">
    <vt:lpwstr>eyJoZGlkIjoiOWRjYzE4ZTZmMTM2MzM2YmIyZmUzNTcwYmU2Y2M4YzgiLCJ1c2VySWQiOiIzOTcyODA3MTUifQ==</vt:lpwstr>
  </property>
</Properties>
</file>